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14" w:type="dxa"/>
        <w:tblInd w:w="-459" w:type="dxa"/>
        <w:tblBorders>
          <w:bottom w:val="single" w:sz="4" w:space="0" w:color="auto"/>
        </w:tblBorders>
        <w:tblLayout w:type="fixed"/>
        <w:tblCellMar>
          <w:left w:w="0" w:type="dxa"/>
          <w:right w:w="0" w:type="dxa"/>
        </w:tblCellMar>
        <w:tblLook w:val="01E0" w:firstRow="1" w:lastRow="1" w:firstColumn="1" w:lastColumn="1" w:noHBand="0" w:noVBand="0"/>
      </w:tblPr>
      <w:tblGrid>
        <w:gridCol w:w="499"/>
        <w:gridCol w:w="6906"/>
        <w:gridCol w:w="2909"/>
      </w:tblGrid>
      <w:tr w:rsidR="00041727" w:rsidRPr="00F5126B" w14:paraId="197A6A70" w14:textId="77777777" w:rsidTr="00204109">
        <w:trPr>
          <w:trHeight w:val="282"/>
        </w:trPr>
        <w:tc>
          <w:tcPr>
            <w:tcW w:w="499" w:type="dxa"/>
            <w:vMerge w:val="restart"/>
            <w:tcBorders>
              <w:bottom w:val="nil"/>
            </w:tcBorders>
            <w:textDirection w:val="btLr"/>
            <w:vAlign w:val="center"/>
          </w:tcPr>
          <w:p w14:paraId="4F25DFC1" w14:textId="77777777" w:rsidR="00041727" w:rsidRPr="00041727" w:rsidRDefault="00527225" w:rsidP="00E7151C">
            <w:pPr>
              <w:tabs>
                <w:tab w:val="clear" w:pos="1134"/>
                <w:tab w:val="left" w:pos="6946"/>
              </w:tabs>
              <w:suppressAutoHyphens/>
              <w:spacing w:after="120" w:line="252" w:lineRule="auto"/>
              <w:ind w:left="175" w:right="113"/>
              <w:jc w:val="right"/>
              <w:rPr>
                <w:noProof/>
                <w:color w:val="365F91" w:themeColor="accent1" w:themeShade="BF"/>
                <w:sz w:val="12"/>
                <w:szCs w:val="12"/>
                <w:lang w:val="en-US" w:eastAsia="zh-CN"/>
              </w:rPr>
            </w:pPr>
            <w:r w:rsidRPr="00410F8F">
              <w:rPr>
                <w:noProof/>
                <w:color w:val="365F91" w:themeColor="accent1" w:themeShade="BF"/>
                <w:sz w:val="10"/>
                <w:szCs w:val="10"/>
                <w:lang w:val="en-US" w:eastAsia="zh-CN"/>
              </w:rPr>
              <w:t>TIEMPO</w:t>
            </w:r>
            <w:r w:rsidR="00041727" w:rsidRPr="001D265C">
              <w:rPr>
                <w:noProof/>
                <w:color w:val="365F91" w:themeColor="accent1" w:themeShade="BF"/>
                <w:sz w:val="10"/>
                <w:szCs w:val="10"/>
                <w:lang w:val="en-US" w:eastAsia="zh-CN"/>
              </w:rPr>
              <w:t xml:space="preserve"> CLIMA </w:t>
            </w:r>
            <w:r>
              <w:rPr>
                <w:noProof/>
                <w:color w:val="365F91" w:themeColor="accent1" w:themeShade="BF"/>
                <w:sz w:val="10"/>
                <w:szCs w:val="10"/>
                <w:lang w:val="en-US" w:eastAsia="zh-CN"/>
              </w:rPr>
              <w:t>AGUA</w:t>
            </w:r>
          </w:p>
        </w:tc>
        <w:tc>
          <w:tcPr>
            <w:tcW w:w="6906" w:type="dxa"/>
            <w:vMerge w:val="restart"/>
            <w:noWrap/>
            <w:tcMar>
              <w:left w:w="0" w:type="dxa"/>
              <w:right w:w="0" w:type="dxa"/>
            </w:tcMar>
          </w:tcPr>
          <w:p w14:paraId="7B05D84F" w14:textId="77777777" w:rsidR="00041727" w:rsidRPr="00527225" w:rsidRDefault="00041727" w:rsidP="007D650E">
            <w:pPr>
              <w:tabs>
                <w:tab w:val="clear" w:pos="1134"/>
                <w:tab w:val="left" w:pos="6946"/>
              </w:tabs>
              <w:suppressAutoHyphens/>
              <w:spacing w:after="120" w:line="252" w:lineRule="auto"/>
              <w:ind w:left="1205"/>
              <w:jc w:val="left"/>
              <w:rPr>
                <w:rStyle w:val="StyleComplex11ptBoldAccent1"/>
              </w:rPr>
            </w:pPr>
            <w:r w:rsidRPr="002C5965">
              <w:rPr>
                <w:noProof/>
                <w:color w:val="365F91" w:themeColor="accent1" w:themeShade="BF"/>
                <w:szCs w:val="22"/>
                <w:lang w:val="en-US" w:eastAsia="zh-CN"/>
              </w:rPr>
              <w:drawing>
                <wp:anchor distT="0" distB="0" distL="114300" distR="114300" simplePos="0" relativeHeight="251658240" behindDoc="1" locked="1" layoutInCell="1" allowOverlap="1" wp14:anchorId="60CE9CDD" wp14:editId="7164AF36">
                  <wp:simplePos x="0" y="0"/>
                  <wp:positionH relativeFrom="page">
                    <wp:posOffset>8255</wp:posOffset>
                  </wp:positionH>
                  <wp:positionV relativeFrom="page">
                    <wp:posOffset>-13970</wp:posOffset>
                  </wp:positionV>
                  <wp:extent cx="613410" cy="6731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mo_logo_e_black"/>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13410" cy="673100"/>
                          </a:xfrm>
                          <a:prstGeom prst="rect">
                            <a:avLst/>
                          </a:prstGeom>
                          <a:noFill/>
                          <a:ln>
                            <a:noFill/>
                          </a:ln>
                        </pic:spPr>
                      </pic:pic>
                    </a:graphicData>
                  </a:graphic>
                  <wp14:sizeRelH relativeFrom="page">
                    <wp14:pctWidth>0</wp14:pctWidth>
                  </wp14:sizeRelH>
                  <wp14:sizeRelV relativeFrom="page">
                    <wp14:pctHeight>0</wp14:pctHeight>
                  </wp14:sizeRelV>
                </wp:anchor>
              </w:drawing>
            </w:r>
            <w:r w:rsidR="00527225" w:rsidRPr="00527225">
              <w:rPr>
                <w:rStyle w:val="StyleComplex11ptBoldAccent1"/>
              </w:rPr>
              <w:t>Organización Meteorológica Mundial</w:t>
            </w:r>
          </w:p>
          <w:p w14:paraId="2A484FCD" w14:textId="271CF8E0" w:rsidR="00041727" w:rsidRPr="00527225" w:rsidRDefault="007F44EB" w:rsidP="007D650E">
            <w:pPr>
              <w:tabs>
                <w:tab w:val="clear" w:pos="1134"/>
                <w:tab w:val="left" w:pos="6946"/>
              </w:tabs>
              <w:suppressAutoHyphens/>
              <w:spacing w:after="120" w:line="252" w:lineRule="auto"/>
              <w:ind w:left="1205"/>
              <w:jc w:val="left"/>
              <w:rPr>
                <w:rFonts w:cs="Tahoma"/>
                <w:b/>
                <w:color w:val="365F91" w:themeColor="accent1" w:themeShade="BF"/>
                <w:spacing w:val="-2"/>
                <w:szCs w:val="22"/>
                <w:lang w:val="es-ES"/>
              </w:rPr>
            </w:pPr>
            <w:r w:rsidRPr="006D2AB8">
              <w:rPr>
                <w:b/>
                <w:bCs/>
                <w:color w:val="365F91"/>
                <w:lang w:val="es-ES"/>
              </w:rPr>
              <w:t>CO</w:t>
            </w:r>
            <w:r w:rsidR="001A5334">
              <w:rPr>
                <w:b/>
                <w:bCs/>
                <w:color w:val="365F91"/>
                <w:lang w:val="es-ES"/>
              </w:rPr>
              <w:t>NSEJO EJECUTIVO</w:t>
            </w:r>
          </w:p>
          <w:p w14:paraId="332A441D" w14:textId="51AB5950" w:rsidR="00041727" w:rsidRPr="00527225" w:rsidRDefault="001A5334" w:rsidP="007D650E">
            <w:pPr>
              <w:tabs>
                <w:tab w:val="clear" w:pos="1134"/>
                <w:tab w:val="left" w:pos="6946"/>
              </w:tabs>
              <w:suppressAutoHyphens/>
              <w:spacing w:after="120" w:line="252" w:lineRule="auto"/>
              <w:ind w:left="1205"/>
              <w:jc w:val="left"/>
              <w:rPr>
                <w:rFonts w:cs="Tahoma"/>
                <w:b/>
                <w:bCs/>
                <w:color w:val="365F91" w:themeColor="accent1" w:themeShade="BF"/>
                <w:szCs w:val="22"/>
                <w:lang w:val="es-ES"/>
              </w:rPr>
            </w:pPr>
            <w:r w:rsidRPr="00633FDB">
              <w:rPr>
                <w:rFonts w:cstheme="minorBidi"/>
                <w:b/>
                <w:snapToGrid w:val="0"/>
                <w:color w:val="365F91" w:themeColor="accent1" w:themeShade="BF"/>
                <w:szCs w:val="22"/>
                <w:lang w:val="es-ES_tradnl"/>
              </w:rPr>
              <w:t xml:space="preserve">Septuagésima </w:t>
            </w:r>
            <w:r>
              <w:rPr>
                <w:rFonts w:cstheme="minorBidi"/>
                <w:b/>
                <w:snapToGrid w:val="0"/>
                <w:color w:val="365F91" w:themeColor="accent1" w:themeShade="BF"/>
                <w:szCs w:val="22"/>
                <w:lang w:val="es-ES_tradnl"/>
              </w:rPr>
              <w:t>sexta</w:t>
            </w:r>
            <w:r w:rsidRPr="00633FDB">
              <w:rPr>
                <w:rFonts w:cstheme="minorBidi"/>
                <w:b/>
                <w:snapToGrid w:val="0"/>
                <w:color w:val="365F91" w:themeColor="accent1" w:themeShade="BF"/>
                <w:szCs w:val="22"/>
                <w:lang w:val="es-ES_tradnl"/>
              </w:rPr>
              <w:t xml:space="preserve"> reunión</w:t>
            </w:r>
            <w:r w:rsidR="00041727" w:rsidRPr="00527225">
              <w:rPr>
                <w:rFonts w:cstheme="minorBidi"/>
                <w:b/>
                <w:snapToGrid w:val="0"/>
                <w:color w:val="365F91" w:themeColor="accent1" w:themeShade="BF"/>
                <w:szCs w:val="22"/>
                <w:lang w:val="es-ES"/>
              </w:rPr>
              <w:br/>
            </w:r>
            <w:r w:rsidR="00E16696">
              <w:rPr>
                <w:color w:val="365F91"/>
                <w:lang w:val="es-ES"/>
              </w:rPr>
              <w:t xml:space="preserve">Ginebra, </w:t>
            </w:r>
            <w:r w:rsidRPr="00633FDB">
              <w:rPr>
                <w:snapToGrid w:val="0"/>
                <w:color w:val="365F91" w:themeColor="accent1" w:themeShade="BF"/>
                <w:szCs w:val="22"/>
                <w:lang w:val="es-ES_tradnl"/>
              </w:rPr>
              <w:t>2</w:t>
            </w:r>
            <w:r>
              <w:rPr>
                <w:snapToGrid w:val="0"/>
                <w:color w:val="365F91" w:themeColor="accent1" w:themeShade="BF"/>
                <w:szCs w:val="22"/>
                <w:lang w:val="es-ES_tradnl"/>
              </w:rPr>
              <w:t>7 de febrero</w:t>
            </w:r>
            <w:r w:rsidRPr="00633FDB">
              <w:rPr>
                <w:snapToGrid w:val="0"/>
                <w:color w:val="365F91" w:themeColor="accent1" w:themeShade="BF"/>
                <w:szCs w:val="22"/>
                <w:lang w:val="es-ES_tradnl"/>
              </w:rPr>
              <w:t xml:space="preserve"> a </w:t>
            </w:r>
            <w:r>
              <w:rPr>
                <w:snapToGrid w:val="0"/>
                <w:color w:val="365F91" w:themeColor="accent1" w:themeShade="BF"/>
                <w:szCs w:val="22"/>
                <w:lang w:val="es-ES_tradnl"/>
              </w:rPr>
              <w:t>3</w:t>
            </w:r>
            <w:r w:rsidRPr="00633FDB">
              <w:rPr>
                <w:snapToGrid w:val="0"/>
                <w:color w:val="365F91" w:themeColor="accent1" w:themeShade="BF"/>
                <w:szCs w:val="22"/>
                <w:lang w:val="es-ES_tradnl"/>
              </w:rPr>
              <w:t xml:space="preserve"> de </w:t>
            </w:r>
            <w:r>
              <w:rPr>
                <w:snapToGrid w:val="0"/>
                <w:color w:val="365F91" w:themeColor="accent1" w:themeShade="BF"/>
                <w:szCs w:val="22"/>
                <w:lang w:val="es-ES_tradnl"/>
              </w:rPr>
              <w:t xml:space="preserve">marzo </w:t>
            </w:r>
            <w:r w:rsidRPr="00633FDB">
              <w:rPr>
                <w:snapToGrid w:val="0"/>
                <w:color w:val="365F91" w:themeColor="accent1" w:themeShade="BF"/>
                <w:szCs w:val="22"/>
                <w:lang w:val="es-ES_tradnl"/>
              </w:rPr>
              <w:t>de 202</w:t>
            </w:r>
            <w:r>
              <w:rPr>
                <w:snapToGrid w:val="0"/>
                <w:color w:val="365F91" w:themeColor="accent1" w:themeShade="BF"/>
                <w:szCs w:val="22"/>
                <w:lang w:val="es-ES_tradnl"/>
              </w:rPr>
              <w:t>3</w:t>
            </w:r>
          </w:p>
        </w:tc>
        <w:tc>
          <w:tcPr>
            <w:tcW w:w="2909" w:type="dxa"/>
          </w:tcPr>
          <w:p w14:paraId="7783E1CD" w14:textId="6EB0EE07" w:rsidR="00041727" w:rsidRPr="00814CC6" w:rsidRDefault="001A5334" w:rsidP="00BA7E19">
            <w:pPr>
              <w:tabs>
                <w:tab w:val="clear" w:pos="1134"/>
              </w:tabs>
              <w:spacing w:after="60"/>
              <w:jc w:val="right"/>
              <w:rPr>
                <w:rFonts w:cs="Tahoma"/>
                <w:b/>
                <w:bCs/>
                <w:color w:val="365F91" w:themeColor="accent1" w:themeShade="BF"/>
                <w:szCs w:val="22"/>
                <w:lang w:val="fr-FR"/>
              </w:rPr>
            </w:pPr>
            <w:r>
              <w:rPr>
                <w:rFonts w:cs="Tahoma"/>
                <w:b/>
                <w:bCs/>
                <w:color w:val="365F91" w:themeColor="accent1" w:themeShade="BF"/>
                <w:szCs w:val="22"/>
                <w:lang w:val="fr-FR"/>
              </w:rPr>
              <w:t>EC-76</w:t>
            </w:r>
            <w:r w:rsidR="00A41E35">
              <w:rPr>
                <w:rFonts w:cs="Tahoma"/>
                <w:b/>
                <w:bCs/>
                <w:color w:val="365F91" w:themeColor="accent1" w:themeShade="BF"/>
                <w:szCs w:val="22"/>
                <w:lang w:val="fr-FR"/>
              </w:rPr>
              <w:t xml:space="preserve">/Doc. </w:t>
            </w:r>
            <w:r>
              <w:rPr>
                <w:rFonts w:cs="Tahoma"/>
                <w:b/>
                <w:bCs/>
                <w:color w:val="365F91" w:themeColor="accent1" w:themeShade="BF"/>
                <w:szCs w:val="22"/>
                <w:lang w:val="fr-FR"/>
              </w:rPr>
              <w:t>3</w:t>
            </w:r>
            <w:r w:rsidR="00642828">
              <w:rPr>
                <w:rFonts w:cs="Tahoma"/>
                <w:b/>
                <w:bCs/>
                <w:color w:val="365F91" w:themeColor="accent1" w:themeShade="BF"/>
                <w:szCs w:val="22"/>
                <w:lang w:val="fr-FR"/>
              </w:rPr>
              <w:t>.1(</w:t>
            </w:r>
            <w:r>
              <w:rPr>
                <w:rFonts w:cs="Tahoma"/>
                <w:b/>
                <w:bCs/>
                <w:color w:val="365F91" w:themeColor="accent1" w:themeShade="BF"/>
                <w:szCs w:val="22"/>
                <w:lang w:val="fr-FR"/>
              </w:rPr>
              <w:t>15</w:t>
            </w:r>
            <w:r w:rsidR="00642828">
              <w:rPr>
                <w:rFonts w:cs="Tahoma"/>
                <w:b/>
                <w:bCs/>
                <w:color w:val="365F91" w:themeColor="accent1" w:themeShade="BF"/>
                <w:szCs w:val="22"/>
                <w:lang w:val="fr-FR"/>
              </w:rPr>
              <w:t>)</w:t>
            </w:r>
            <w:r w:rsidR="00642828" w:rsidRPr="00814CC6">
              <w:rPr>
                <w:rFonts w:cs="Tahoma"/>
                <w:b/>
                <w:bCs/>
                <w:color w:val="365F91" w:themeColor="accent1" w:themeShade="BF"/>
                <w:szCs w:val="22"/>
                <w:lang w:val="fr-FR"/>
              </w:rPr>
              <w:t xml:space="preserve"> </w:t>
            </w:r>
          </w:p>
        </w:tc>
      </w:tr>
      <w:tr w:rsidR="00041727" w:rsidRPr="00AE7EB8" w14:paraId="5183C1E1" w14:textId="77777777" w:rsidTr="00204109">
        <w:trPr>
          <w:trHeight w:val="730"/>
        </w:trPr>
        <w:tc>
          <w:tcPr>
            <w:tcW w:w="499" w:type="dxa"/>
            <w:vMerge/>
            <w:tcBorders>
              <w:bottom w:val="nil"/>
            </w:tcBorders>
          </w:tcPr>
          <w:p w14:paraId="085212FF" w14:textId="77777777" w:rsidR="00041727" w:rsidRPr="00814CC6" w:rsidRDefault="00041727" w:rsidP="00604802">
            <w:pPr>
              <w:tabs>
                <w:tab w:val="left" w:pos="6946"/>
              </w:tabs>
              <w:suppressAutoHyphens/>
              <w:spacing w:after="120" w:line="252" w:lineRule="auto"/>
              <w:ind w:left="1134"/>
              <w:jc w:val="left"/>
              <w:rPr>
                <w:color w:val="365F91" w:themeColor="accent1" w:themeShade="BF"/>
                <w:szCs w:val="22"/>
                <w:lang w:val="fr-FR" w:eastAsia="zh-CN"/>
              </w:rPr>
            </w:pPr>
          </w:p>
        </w:tc>
        <w:tc>
          <w:tcPr>
            <w:tcW w:w="6906" w:type="dxa"/>
            <w:vMerge/>
            <w:noWrap/>
          </w:tcPr>
          <w:p w14:paraId="4FAF7EFA" w14:textId="77777777" w:rsidR="00041727" w:rsidRPr="00814CC6" w:rsidRDefault="00041727" w:rsidP="00604802">
            <w:pPr>
              <w:tabs>
                <w:tab w:val="left" w:pos="6946"/>
              </w:tabs>
              <w:suppressAutoHyphens/>
              <w:spacing w:after="120" w:line="252" w:lineRule="auto"/>
              <w:ind w:left="1134"/>
              <w:jc w:val="left"/>
              <w:rPr>
                <w:color w:val="365F91" w:themeColor="accent1" w:themeShade="BF"/>
                <w:szCs w:val="22"/>
                <w:lang w:val="fr-FR" w:eastAsia="zh-CN"/>
              </w:rPr>
            </w:pPr>
          </w:p>
        </w:tc>
        <w:tc>
          <w:tcPr>
            <w:tcW w:w="2909" w:type="dxa"/>
          </w:tcPr>
          <w:p w14:paraId="1AA71B75" w14:textId="2F49246A" w:rsidR="00041727" w:rsidRPr="002C5965" w:rsidRDefault="00527225" w:rsidP="00BA7E19">
            <w:pPr>
              <w:pStyle w:val="StyleComplexTahomaComplex11ptAccent1RightAfter-"/>
              <w:ind w:right="0"/>
            </w:pPr>
            <w:r>
              <w:t>Presentado por</w:t>
            </w:r>
            <w:r w:rsidR="00041727" w:rsidRPr="002C5965">
              <w:t>:</w:t>
            </w:r>
            <w:r w:rsidR="00041727" w:rsidRPr="002C5965">
              <w:br/>
            </w:r>
            <w:r w:rsidR="00AE7EB8">
              <w:t xml:space="preserve">presidente de la </w:t>
            </w:r>
            <w:r w:rsidR="00213FDF">
              <w:t>Comisión de Servicios</w:t>
            </w:r>
          </w:p>
          <w:p w14:paraId="17D51ACB" w14:textId="6032597A" w:rsidR="00041727" w:rsidRPr="002C5965" w:rsidRDefault="001A5334" w:rsidP="00BA7E19">
            <w:pPr>
              <w:pStyle w:val="StyleComplexTahomaComplex11ptAccent1RightAfter-"/>
              <w:ind w:right="0"/>
            </w:pPr>
            <w:r>
              <w:rPr>
                <w:bCs/>
                <w:color w:val="365F91"/>
              </w:rPr>
              <w:t>16</w:t>
            </w:r>
            <w:r w:rsidR="00527225" w:rsidRPr="007F7A32">
              <w:t>.</w:t>
            </w:r>
            <w:r w:rsidR="00642828">
              <w:t>X</w:t>
            </w:r>
            <w:r>
              <w:t>II</w:t>
            </w:r>
            <w:r w:rsidR="00A41E35">
              <w:t>.202</w:t>
            </w:r>
            <w:r w:rsidR="003F4786">
              <w:t>2</w:t>
            </w:r>
          </w:p>
          <w:p w14:paraId="65719591" w14:textId="043922DC" w:rsidR="00041727" w:rsidRPr="001A5334" w:rsidRDefault="001A5334" w:rsidP="00BA7E19">
            <w:pPr>
              <w:tabs>
                <w:tab w:val="clear" w:pos="1134"/>
              </w:tabs>
              <w:spacing w:before="120" w:after="60"/>
              <w:jc w:val="right"/>
              <w:rPr>
                <w:rFonts w:cs="Tahoma"/>
                <w:b/>
                <w:bCs/>
                <w:color w:val="365F91" w:themeColor="accent1" w:themeShade="BF"/>
                <w:szCs w:val="22"/>
                <w:lang w:val="es-ES"/>
              </w:rPr>
            </w:pPr>
            <w:r>
              <w:rPr>
                <w:rFonts w:cs="Tahoma"/>
                <w:b/>
                <w:bCs/>
                <w:color w:val="365F91" w:themeColor="accent1" w:themeShade="BF"/>
                <w:szCs w:val="22"/>
                <w:lang w:val="es-ES"/>
              </w:rPr>
              <w:t>VERSIÓN 1</w:t>
            </w:r>
          </w:p>
        </w:tc>
      </w:tr>
    </w:tbl>
    <w:p w14:paraId="46B1A549" w14:textId="4A781C87" w:rsidR="00C4470F" w:rsidRPr="00514EAC" w:rsidRDefault="001527A3" w:rsidP="00514EAC">
      <w:pPr>
        <w:pStyle w:val="WMOBodyText"/>
        <w:ind w:left="3969" w:hanging="3969"/>
        <w:rPr>
          <w:b/>
          <w:lang w:val="es-ES"/>
        </w:rPr>
      </w:pPr>
      <w:r w:rsidRPr="00514EAC">
        <w:rPr>
          <w:b/>
          <w:lang w:val="es-ES"/>
        </w:rPr>
        <w:t xml:space="preserve">PUNTO </w:t>
      </w:r>
      <w:r w:rsidR="001A5334">
        <w:rPr>
          <w:b/>
          <w:lang w:val="es-ES"/>
        </w:rPr>
        <w:t>3</w:t>
      </w:r>
      <w:r w:rsidRPr="00514EAC">
        <w:rPr>
          <w:b/>
          <w:lang w:val="es-ES"/>
        </w:rPr>
        <w:t xml:space="preserve"> DEL ORDEN DEL DÍA:</w:t>
      </w:r>
      <w:r w:rsidR="00A41E35" w:rsidRPr="00514EAC">
        <w:rPr>
          <w:b/>
          <w:lang w:val="es-ES"/>
        </w:rPr>
        <w:tab/>
      </w:r>
      <w:r w:rsidR="001A5334">
        <w:rPr>
          <w:b/>
          <w:lang w:val="es-ES"/>
        </w:rPr>
        <w:t>APLICACIÓN DE LAS DECISIONES DEL CONGRESO: CUESTIONES TÉCNICAS</w:t>
      </w:r>
    </w:p>
    <w:p w14:paraId="281EC57A" w14:textId="3CA8E308" w:rsidR="001527A3" w:rsidRDefault="001527A3" w:rsidP="001527A3">
      <w:pPr>
        <w:pStyle w:val="WMOBodyText"/>
        <w:ind w:left="3969" w:hanging="3969"/>
        <w:rPr>
          <w:b/>
          <w:lang w:val="es-ES"/>
        </w:rPr>
      </w:pPr>
      <w:r w:rsidRPr="001527A3">
        <w:rPr>
          <w:b/>
          <w:lang w:val="es-ES"/>
        </w:rPr>
        <w:t xml:space="preserve">PUNTO </w:t>
      </w:r>
      <w:r w:rsidR="001A5334">
        <w:rPr>
          <w:b/>
          <w:lang w:val="es-ES"/>
        </w:rPr>
        <w:t>3.1</w:t>
      </w:r>
      <w:r w:rsidRPr="001527A3">
        <w:rPr>
          <w:b/>
          <w:lang w:val="es-ES"/>
        </w:rPr>
        <w:t>:</w:t>
      </w:r>
      <w:r w:rsidRPr="001527A3">
        <w:rPr>
          <w:b/>
          <w:lang w:val="es-ES"/>
        </w:rPr>
        <w:tab/>
      </w:r>
      <w:r w:rsidR="001A5334">
        <w:rPr>
          <w:b/>
          <w:lang w:val="es-ES"/>
        </w:rPr>
        <w:t>Meta a largo plazo 1: Servicios para atender las necesidades de la sociedad</w:t>
      </w:r>
    </w:p>
    <w:p w14:paraId="430E6B59" w14:textId="00242124" w:rsidR="008E0A57" w:rsidRDefault="00642828" w:rsidP="00716AD3">
      <w:pPr>
        <w:pStyle w:val="Heading1"/>
        <w:spacing w:before="480"/>
        <w:rPr>
          <w:lang w:val="es-ES"/>
        </w:rPr>
      </w:pPr>
      <w:r w:rsidRPr="00642828">
        <w:rPr>
          <w:lang w:val="es-ES"/>
        </w:rPr>
        <w:t>PLAN DE EJECUCIÓN PARA CONTRI</w:t>
      </w:r>
      <w:r>
        <w:rPr>
          <w:lang w:val="es-ES"/>
        </w:rPr>
        <w:t>BUIR AL PROGRESO DE LA CIENCIA Y LOS SERVICIOS INTEGRADOS EN EL ÁMBITO DEL CLIMA Y LA SALUD</w:t>
      </w:r>
      <w:r w:rsidR="00582D98">
        <w:rPr>
          <w:lang w:val="es-ES"/>
        </w:rPr>
        <w:t xml:space="preserve"> (2023-2033)</w:t>
      </w:r>
    </w:p>
    <w:p w14:paraId="615C37AD" w14:textId="77777777" w:rsidR="001A5334" w:rsidRPr="001A5334" w:rsidRDefault="001A5334" w:rsidP="001A5334">
      <w:pPr>
        <w:pStyle w:val="WMOBodyText"/>
        <w:rPr>
          <w:lang w:val="es-ES"/>
        </w:rPr>
      </w:pPr>
    </w:p>
    <w:tbl>
      <w:tblPr>
        <w:tblStyle w:val="TableGrid"/>
        <w:tblW w:w="9526" w:type="dxa"/>
        <w:jc w:val="center"/>
        <w:tblLook w:val="04A0" w:firstRow="1" w:lastRow="0" w:firstColumn="1" w:lastColumn="0" w:noHBand="0" w:noVBand="1"/>
      </w:tblPr>
      <w:tblGrid>
        <w:gridCol w:w="9526"/>
      </w:tblGrid>
      <w:tr w:rsidR="001A5334" w:rsidRPr="00213FDF" w14:paraId="429E1CCD" w14:textId="77777777" w:rsidTr="00733BF9">
        <w:trPr>
          <w:jc w:val="center"/>
        </w:trPr>
        <w:tc>
          <w:tcPr>
            <w:tcW w:w="9526" w:type="dxa"/>
            <w:tcBorders>
              <w:bottom w:val="nil"/>
            </w:tcBorders>
          </w:tcPr>
          <w:p w14:paraId="526C5021" w14:textId="77777777" w:rsidR="001A5334" w:rsidRDefault="001A5334" w:rsidP="00733BF9">
            <w:pPr>
              <w:pStyle w:val="WMOBodyText"/>
              <w:spacing w:after="240"/>
              <w:jc w:val="center"/>
              <w:rPr>
                <w:b/>
                <w:bCs/>
                <w:sz w:val="22"/>
                <w:szCs w:val="22"/>
              </w:rPr>
            </w:pPr>
            <w:bookmarkStart w:id="0" w:name="_APPENDIX_A:_"/>
            <w:bookmarkEnd w:id="0"/>
            <w:r w:rsidRPr="00633FDB">
              <w:rPr>
                <w:b/>
                <w:bCs/>
                <w:sz w:val="22"/>
                <w:szCs w:val="22"/>
              </w:rPr>
              <w:t>RESUMEN</w:t>
            </w:r>
          </w:p>
          <w:p w14:paraId="204ADA1B" w14:textId="273F8CA1" w:rsidR="001A5334" w:rsidRDefault="001A5334" w:rsidP="00733BF9">
            <w:pPr>
              <w:pStyle w:val="WMOBodyText"/>
              <w:spacing w:before="160"/>
              <w:rPr>
                <w:lang w:val="es-ES"/>
              </w:rPr>
            </w:pPr>
            <w:r>
              <w:rPr>
                <w:b/>
                <w:bCs/>
                <w:lang w:val="es-ES"/>
              </w:rPr>
              <w:t>Documento presentado por:</w:t>
            </w:r>
            <w:r>
              <w:rPr>
                <w:lang w:val="es-ES"/>
              </w:rPr>
              <w:t xml:space="preserve"> l</w:t>
            </w:r>
            <w:r w:rsidRPr="001A5334">
              <w:rPr>
                <w:lang w:val="es-ES"/>
              </w:rPr>
              <w:t xml:space="preserve">os presidentes del Grupo Mixto </w:t>
            </w:r>
            <w:r w:rsidR="000938FB">
              <w:rPr>
                <w:lang w:val="es-ES"/>
              </w:rPr>
              <w:t>OMM</w:t>
            </w:r>
            <w:r w:rsidR="0049135C">
              <w:rPr>
                <w:lang w:val="es-ES"/>
              </w:rPr>
              <w:t>-OMS</w:t>
            </w:r>
            <w:r w:rsidR="000938FB">
              <w:rPr>
                <w:lang w:val="es-ES"/>
              </w:rPr>
              <w:t xml:space="preserve"> </w:t>
            </w:r>
            <w:r w:rsidRPr="001A5334">
              <w:rPr>
                <w:lang w:val="es-ES"/>
              </w:rPr>
              <w:t>sobre Servicios de Salud Integrados (SG-HEA) de la Comisión de Aplicaciones y Servicios Meteorológicos, Climáticos, Hidrológicos y Medioambientales Conexos (SERCOM),</w:t>
            </w:r>
            <w:r w:rsidR="000938FB">
              <w:rPr>
                <w:lang w:val="es-ES"/>
              </w:rPr>
              <w:t xml:space="preserve"> </w:t>
            </w:r>
            <w:r w:rsidRPr="001A5334">
              <w:rPr>
                <w:lang w:val="es-ES"/>
              </w:rPr>
              <w:t xml:space="preserve">en respuesta a la </w:t>
            </w:r>
            <w:hyperlink r:id="rId12" w:anchor="page=131" w:history="1">
              <w:r w:rsidRPr="001A5334">
                <w:rPr>
                  <w:rStyle w:val="Hyperlink"/>
                  <w:lang w:val="es-ES"/>
                </w:rPr>
                <w:t>Resolución 33 (Cg-18)</w:t>
              </w:r>
            </w:hyperlink>
            <w:r w:rsidRPr="001A5334">
              <w:rPr>
                <w:lang w:val="es-ES"/>
              </w:rPr>
              <w:t xml:space="preserve"> — Fomento de los servicios de salud integrados, a fin de elaborar un plan de ejecución y </w:t>
            </w:r>
            <w:r w:rsidRPr="001936A3">
              <w:rPr>
                <w:lang w:val="es-ES"/>
              </w:rPr>
              <w:t>recursos a partir del Plan</w:t>
            </w:r>
            <w:r w:rsidRPr="001A5334">
              <w:rPr>
                <w:lang w:val="es-ES"/>
              </w:rPr>
              <w:t xml:space="preserve"> Rector en el Ámbito de la Salud, el Medioambiente y el Clima basado en un Enfoque de la Ciencia a los Servicios (2019-2023), que hizo suyo el Decimoctavo Congreso Meteorológico Mundial</w:t>
            </w:r>
            <w:r w:rsidR="00B96422">
              <w:rPr>
                <w:lang w:val="es-ES"/>
              </w:rPr>
              <w:t xml:space="preserve">. La SERCOM recomendó la aprobación del </w:t>
            </w:r>
            <w:r w:rsidR="0004247E">
              <w:rPr>
                <w:lang w:val="es-ES"/>
              </w:rPr>
              <w:t xml:space="preserve">Plan de Ejecución en la </w:t>
            </w:r>
            <w:hyperlink r:id="rId13" w:history="1">
              <w:r w:rsidR="0004247E" w:rsidRPr="0004247E">
                <w:rPr>
                  <w:rStyle w:val="Hyperlink"/>
                  <w:lang w:val="es-ES"/>
                </w:rPr>
                <w:t>Recomendación 5.10(3) (SERCOM-2)</w:t>
              </w:r>
            </w:hyperlink>
          </w:p>
          <w:p w14:paraId="729E08A9" w14:textId="3E53A400" w:rsidR="001A5334" w:rsidRPr="0004247E" w:rsidRDefault="001A5334" w:rsidP="00733BF9">
            <w:pPr>
              <w:pStyle w:val="WMOBodyText"/>
              <w:spacing w:before="160"/>
              <w:rPr>
                <w:lang w:val="es-ES"/>
              </w:rPr>
            </w:pPr>
            <w:r>
              <w:rPr>
                <w:b/>
                <w:bCs/>
                <w:lang w:val="es-ES"/>
              </w:rPr>
              <w:t xml:space="preserve">Objetivo estratégico para 2020-2023: </w:t>
            </w:r>
            <w:r w:rsidR="0004247E" w:rsidRPr="0004247E">
              <w:rPr>
                <w:lang w:val="es-ES"/>
              </w:rPr>
              <w:t>1.1 — Funcionamiento eficaz y eficiente de la SERCOM y sus estructuras de trabajo</w:t>
            </w:r>
          </w:p>
          <w:p w14:paraId="33BF26D8" w14:textId="4D3024E5" w:rsidR="001A5334" w:rsidRDefault="001A5334" w:rsidP="00733BF9">
            <w:pPr>
              <w:pStyle w:val="WMOBodyText"/>
              <w:spacing w:before="160"/>
              <w:rPr>
                <w:lang w:val="es-ES"/>
              </w:rPr>
            </w:pPr>
            <w:r>
              <w:rPr>
                <w:b/>
                <w:bCs/>
                <w:lang w:val="es-ES"/>
              </w:rPr>
              <w:t>Consecuencias financieras y administrativas:</w:t>
            </w:r>
            <w:r>
              <w:rPr>
                <w:lang w:val="es-ES"/>
              </w:rPr>
              <w:t xml:space="preserve"> </w:t>
            </w:r>
            <w:r w:rsidR="00636675">
              <w:rPr>
                <w:lang w:val="es-ES"/>
              </w:rPr>
              <w:t>s</w:t>
            </w:r>
            <w:r w:rsidR="00636675" w:rsidRPr="00636675">
              <w:rPr>
                <w:lang w:val="es-ES"/>
              </w:rPr>
              <w:t xml:space="preserve">e pondrán de manifiesto en el Plan Estratégico y el Plan de Funcionamiento de la </w:t>
            </w:r>
            <w:r w:rsidR="0049135C">
              <w:rPr>
                <w:lang w:val="es-ES"/>
              </w:rPr>
              <w:t>Organización Meteorológica Mundial (</w:t>
            </w:r>
            <w:r w:rsidR="00636675" w:rsidRPr="00636675">
              <w:rPr>
                <w:lang w:val="es-ES"/>
              </w:rPr>
              <w:t>OMM</w:t>
            </w:r>
            <w:r w:rsidR="0049135C">
              <w:rPr>
                <w:lang w:val="es-ES"/>
              </w:rPr>
              <w:t>)</w:t>
            </w:r>
            <w:r w:rsidR="00636675" w:rsidRPr="00636675">
              <w:rPr>
                <w:lang w:val="es-ES"/>
              </w:rPr>
              <w:t xml:space="preserve"> para 2024-2027, y para hacerles frente también se recurrirá a recursos extrapresupuestarios complementarios</w:t>
            </w:r>
          </w:p>
          <w:p w14:paraId="4741F23A" w14:textId="6B410F82" w:rsidR="001A5334" w:rsidRDefault="001A5334" w:rsidP="00733BF9">
            <w:pPr>
              <w:pStyle w:val="WMOBodyText"/>
              <w:spacing w:before="160"/>
              <w:rPr>
                <w:lang w:val="es-ES"/>
              </w:rPr>
            </w:pPr>
            <w:r>
              <w:rPr>
                <w:b/>
                <w:bCs/>
                <w:lang w:val="es-ES"/>
              </w:rPr>
              <w:t>Principales encargados de la ejecución:</w:t>
            </w:r>
            <w:r>
              <w:rPr>
                <w:lang w:val="es-ES"/>
              </w:rPr>
              <w:t xml:space="preserve"> </w:t>
            </w:r>
            <w:r w:rsidR="00636675">
              <w:rPr>
                <w:lang w:val="es-ES"/>
              </w:rPr>
              <w:t>e</w:t>
            </w:r>
            <w:r w:rsidR="00636675" w:rsidRPr="00636675">
              <w:rPr>
                <w:lang w:val="es-ES"/>
              </w:rPr>
              <w:t xml:space="preserve">n el seno de la OMM, la SERCOM, en consulta con la Comisión de Observaciones, Infraestructura y Sistemas de Información (INFCOM), la </w:t>
            </w:r>
            <w:r w:rsidR="00636675" w:rsidRPr="00A46936">
              <w:rPr>
                <w:lang w:val="es-ES"/>
              </w:rPr>
              <w:t>Junta de Investigación sobre el Tiempo, el Clima, el Agua y el Medioambiente</w:t>
            </w:r>
            <w:r w:rsidR="00636675" w:rsidRPr="00636675">
              <w:rPr>
                <w:lang w:val="es-ES"/>
              </w:rPr>
              <w:t>, el Grupo de Expertos del Consejo Ejecutivo sobre Desarrollo de Capacidad (EC-CPD) y las asociaciones regionales; la Organización Mundial de la Salud (OMS) y otros asociados sectoriales</w:t>
            </w:r>
          </w:p>
          <w:p w14:paraId="47F67908" w14:textId="22A9C41E" w:rsidR="001A5334" w:rsidRDefault="001A5334" w:rsidP="00733BF9">
            <w:pPr>
              <w:pStyle w:val="WMOBodyText"/>
              <w:spacing w:before="160"/>
              <w:rPr>
                <w:lang w:val="es-ES"/>
              </w:rPr>
            </w:pPr>
            <w:r>
              <w:rPr>
                <w:b/>
                <w:bCs/>
                <w:lang w:val="es-ES"/>
              </w:rPr>
              <w:t>Cronograma:</w:t>
            </w:r>
            <w:r>
              <w:rPr>
                <w:lang w:val="es-ES"/>
              </w:rPr>
              <w:t xml:space="preserve"> </w:t>
            </w:r>
            <w:r w:rsidR="00636675" w:rsidRPr="005C377B">
              <w:t>2023–2033</w:t>
            </w:r>
          </w:p>
          <w:p w14:paraId="558DF934" w14:textId="42C97EC3" w:rsidR="001A5334" w:rsidRPr="00633FDB" w:rsidRDefault="001A5334" w:rsidP="00733BF9">
            <w:pPr>
              <w:pStyle w:val="WMOBodyText"/>
              <w:spacing w:before="160"/>
              <w:rPr>
                <w:b/>
                <w:bCs/>
                <w:sz w:val="22"/>
                <w:szCs w:val="22"/>
              </w:rPr>
            </w:pPr>
            <w:r>
              <w:rPr>
                <w:b/>
                <w:bCs/>
                <w:lang w:val="es-ES"/>
              </w:rPr>
              <w:t>Medida prevista:</w:t>
            </w:r>
            <w:r>
              <w:rPr>
                <w:lang w:val="es-ES"/>
              </w:rPr>
              <w:t xml:space="preserve"> </w:t>
            </w:r>
            <w:r w:rsidR="00636675">
              <w:rPr>
                <w:lang w:val="es-ES"/>
              </w:rPr>
              <w:t xml:space="preserve">aprobar el proyecto de </w:t>
            </w:r>
            <w:r w:rsidR="00905EC8">
              <w:rPr>
                <w:lang w:val="es-ES"/>
              </w:rPr>
              <w:t>r</w:t>
            </w:r>
            <w:r w:rsidR="00636675">
              <w:rPr>
                <w:lang w:val="es-ES"/>
              </w:rPr>
              <w:t>esolución 3.1(15)</w:t>
            </w:r>
          </w:p>
        </w:tc>
      </w:tr>
      <w:tr w:rsidR="001A5334" w:rsidRPr="00213FDF" w14:paraId="5FC1C537" w14:textId="77777777" w:rsidTr="00733BF9">
        <w:trPr>
          <w:trHeight w:val="277"/>
          <w:jc w:val="center"/>
        </w:trPr>
        <w:tc>
          <w:tcPr>
            <w:tcW w:w="9526" w:type="dxa"/>
            <w:tcBorders>
              <w:top w:val="nil"/>
              <w:left w:val="single" w:sz="4" w:space="0" w:color="auto"/>
              <w:bottom w:val="single" w:sz="4" w:space="0" w:color="auto"/>
              <w:right w:val="single" w:sz="4" w:space="0" w:color="auto"/>
            </w:tcBorders>
          </w:tcPr>
          <w:p w14:paraId="46C3C74E" w14:textId="77777777" w:rsidR="001A5334" w:rsidRPr="00633FDB" w:rsidRDefault="001A5334" w:rsidP="00733BF9">
            <w:pPr>
              <w:pStyle w:val="WMOBodyText"/>
              <w:spacing w:before="120" w:after="120"/>
              <w:jc w:val="left"/>
            </w:pPr>
          </w:p>
        </w:tc>
      </w:tr>
    </w:tbl>
    <w:p w14:paraId="136E0C52" w14:textId="77777777" w:rsidR="00AA680F" w:rsidRPr="00F43581" w:rsidRDefault="00AA680F" w:rsidP="001D3CFB">
      <w:pPr>
        <w:pStyle w:val="Heading1"/>
        <w:rPr>
          <w:lang w:val="es-ES"/>
        </w:rPr>
      </w:pPr>
      <w:bookmarkStart w:id="1" w:name="_APPENDIX_B:_"/>
      <w:bookmarkStart w:id="2" w:name="_Annex_to_Draft_2"/>
      <w:bookmarkStart w:id="3" w:name="_Annex_to_Draft"/>
      <w:bookmarkEnd w:id="1"/>
      <w:bookmarkEnd w:id="2"/>
      <w:bookmarkEnd w:id="3"/>
    </w:p>
    <w:p w14:paraId="1F271E6B" w14:textId="77777777" w:rsidR="00AA680F" w:rsidRPr="00F43581" w:rsidRDefault="00AA680F">
      <w:pPr>
        <w:tabs>
          <w:tab w:val="clear" w:pos="1134"/>
        </w:tabs>
        <w:jc w:val="left"/>
        <w:rPr>
          <w:rFonts w:eastAsia="Verdana" w:cs="Verdana"/>
          <w:b/>
          <w:bCs/>
          <w:caps/>
          <w:kern w:val="32"/>
          <w:sz w:val="24"/>
          <w:szCs w:val="24"/>
          <w:lang w:val="es-ES" w:eastAsia="zh-TW"/>
        </w:rPr>
      </w:pPr>
      <w:r w:rsidRPr="00F43581">
        <w:rPr>
          <w:lang w:val="es-ES"/>
        </w:rPr>
        <w:br w:type="page"/>
      </w:r>
    </w:p>
    <w:p w14:paraId="6E565CBB" w14:textId="7FDB67B9" w:rsidR="0020095E" w:rsidRPr="006D508B" w:rsidRDefault="00AA680F" w:rsidP="001D3CFB">
      <w:pPr>
        <w:pStyle w:val="Heading1"/>
        <w:rPr>
          <w:lang w:val="es-ES"/>
        </w:rPr>
      </w:pPr>
      <w:r w:rsidRPr="006D508B">
        <w:rPr>
          <w:lang w:val="es-ES"/>
        </w:rPr>
        <w:lastRenderedPageBreak/>
        <w:t>consideraciones generales</w:t>
      </w:r>
    </w:p>
    <w:p w14:paraId="304E336B" w14:textId="61B27CB7" w:rsidR="00AA680F" w:rsidRPr="00F43581" w:rsidRDefault="00F43581" w:rsidP="00AA680F">
      <w:pPr>
        <w:pStyle w:val="Heading3"/>
        <w:rPr>
          <w:lang w:val="es-ES"/>
        </w:rPr>
      </w:pPr>
      <w:bookmarkStart w:id="4" w:name="_DRAFT_RESOLUTION_4.2/1_(EC-64)_-_PU"/>
      <w:bookmarkStart w:id="5" w:name="_DRAFT_RESOLUTION_X.X/1"/>
      <w:bookmarkEnd w:id="4"/>
      <w:bookmarkEnd w:id="5"/>
      <w:r w:rsidRPr="00F43581">
        <w:rPr>
          <w:lang w:val="es-ES"/>
        </w:rPr>
        <w:t xml:space="preserve">La variabilidad del clima y el cambio climático entrañan </w:t>
      </w:r>
      <w:r>
        <w:rPr>
          <w:lang w:val="es-ES"/>
        </w:rPr>
        <w:t>la pérdida</w:t>
      </w:r>
      <w:r w:rsidRPr="00F43581">
        <w:rPr>
          <w:lang w:val="es-ES"/>
        </w:rPr>
        <w:t xml:space="preserve"> de </w:t>
      </w:r>
      <w:r>
        <w:rPr>
          <w:lang w:val="es-ES"/>
        </w:rPr>
        <w:t>vidas y la mala salud</w:t>
      </w:r>
    </w:p>
    <w:p w14:paraId="43175E9F" w14:textId="245D75E8" w:rsidR="00AA680F" w:rsidRPr="00213824" w:rsidRDefault="00DB1CE0" w:rsidP="00AA680F">
      <w:pPr>
        <w:pStyle w:val="WMOBodyText"/>
        <w:numPr>
          <w:ilvl w:val="0"/>
          <w:numId w:val="49"/>
        </w:numPr>
        <w:tabs>
          <w:tab w:val="left" w:pos="1134"/>
        </w:tabs>
        <w:ind w:left="0" w:hanging="11"/>
        <w:rPr>
          <w:lang w:val="es-ES"/>
        </w:rPr>
      </w:pPr>
      <w:r w:rsidRPr="00DB1CE0">
        <w:rPr>
          <w:lang w:val="es-ES"/>
        </w:rPr>
        <w:t xml:space="preserve">El Grupo Intergubernamental de Expertos sobre el Cambio Climático (IPCC) afirmó recientemente con un nivel de confianza muy alto que las enfermedades relacionadas con </w:t>
      </w:r>
      <w:r>
        <w:rPr>
          <w:lang w:val="es-ES"/>
        </w:rPr>
        <w:t>el clima, las muertes prematuras, la malnutrición</w:t>
      </w:r>
      <w:r w:rsidR="00905EC8">
        <w:rPr>
          <w:lang w:val="es-ES"/>
        </w:rPr>
        <w:t xml:space="preserve"> en todas sus formas</w:t>
      </w:r>
      <w:r>
        <w:rPr>
          <w:lang w:val="es-ES"/>
        </w:rPr>
        <w:t xml:space="preserve"> y las amenazas a la salud mental y al bienestar de las personas están aumentando</w:t>
      </w:r>
      <w:r w:rsidR="00AA680F" w:rsidRPr="00213824">
        <w:rPr>
          <w:lang w:val="es-ES"/>
        </w:rPr>
        <w:t>.</w:t>
      </w:r>
    </w:p>
    <w:p w14:paraId="7295CFED" w14:textId="00DB9500" w:rsidR="00AA680F" w:rsidRPr="00E74B1B" w:rsidRDefault="00213824" w:rsidP="00AA680F">
      <w:pPr>
        <w:pStyle w:val="WMOBodyText"/>
        <w:numPr>
          <w:ilvl w:val="0"/>
          <w:numId w:val="49"/>
        </w:numPr>
        <w:tabs>
          <w:tab w:val="left" w:pos="1134"/>
        </w:tabs>
        <w:ind w:left="0" w:hanging="11"/>
        <w:rPr>
          <w:b/>
          <w:lang w:val="es-ES"/>
        </w:rPr>
      </w:pPr>
      <w:r w:rsidRPr="008774F0">
        <w:rPr>
          <w:rFonts w:eastAsia="FrutigerLTPro-Condensed" w:cs="FrutigerLTPro-Condensed"/>
          <w:lang w:val="es-ES"/>
        </w:rPr>
        <w:t>El IPCC afirma asimismo con un nivel de confianza muy alto que</w:t>
      </w:r>
      <w:r w:rsidR="00C201BE" w:rsidRPr="008774F0">
        <w:rPr>
          <w:rFonts w:eastAsia="FrutigerLTPro-Condensed" w:cs="FrutigerLTPro-Condensed"/>
          <w:lang w:val="es-ES"/>
        </w:rPr>
        <w:t xml:space="preserve">, </w:t>
      </w:r>
      <w:r w:rsidR="00410645" w:rsidRPr="008774F0">
        <w:rPr>
          <w:rFonts w:eastAsia="FrutigerLTPro-Condensed" w:cs="FrutigerLTPro-Condensed"/>
          <w:lang w:val="es-ES"/>
        </w:rPr>
        <w:t>al aumentar</w:t>
      </w:r>
      <w:r w:rsidR="00C201BE" w:rsidRPr="008774F0">
        <w:rPr>
          <w:rFonts w:eastAsia="FrutigerLTPro-Condensed" w:cs="FrutigerLTPro-Condensed"/>
          <w:lang w:val="es-ES"/>
        </w:rPr>
        <w:t xml:space="preserve"> la probabilidad de</w:t>
      </w:r>
      <w:r w:rsidR="00410645" w:rsidRPr="008774F0">
        <w:rPr>
          <w:rFonts w:eastAsia="FrutigerLTPro-Condensed" w:cs="FrutigerLTPro-Condensed"/>
          <w:lang w:val="es-ES"/>
        </w:rPr>
        <w:t xml:space="preserve"> que se produzcan riesgos graves para</w:t>
      </w:r>
      <w:r w:rsidR="00C201BE" w:rsidRPr="008774F0">
        <w:rPr>
          <w:rFonts w:eastAsia="FrutigerLTPro-Condensed" w:cs="FrutigerLTPro-Condensed"/>
          <w:lang w:val="es-ES"/>
        </w:rPr>
        <w:t xml:space="preserve"> la salud humana</w:t>
      </w:r>
      <w:r w:rsidR="00410645" w:rsidRPr="008774F0">
        <w:rPr>
          <w:rFonts w:eastAsia="FrutigerLTPro-Condensed" w:cs="FrutigerLTPro-Condensed"/>
          <w:lang w:val="es-ES"/>
        </w:rPr>
        <w:t xml:space="preserve">, es </w:t>
      </w:r>
      <w:r w:rsidR="008774F0" w:rsidRPr="008774F0">
        <w:rPr>
          <w:rFonts w:eastAsia="FrutigerLTPro-Condensed" w:cs="FrutigerLTPro-Condensed"/>
          <w:lang w:val="es-ES"/>
        </w:rPr>
        <w:t>preciso</w:t>
      </w:r>
      <w:r w:rsidR="008774F0">
        <w:rPr>
          <w:rFonts w:eastAsia="FrutigerLTPro-Condensed" w:cs="FrutigerLTPro-Condensed"/>
          <w:lang w:val="es-ES"/>
        </w:rPr>
        <w:t xml:space="preserve"> impulsar cambios que propicien la transformación de los sistemas de salud y otros sistemas</w:t>
      </w:r>
      <w:r w:rsidR="00E74B1B">
        <w:rPr>
          <w:rFonts w:eastAsia="FrutigerLTPro-Condensed" w:cs="FrutigerLTPro-Condensed"/>
          <w:lang w:val="es-ES"/>
        </w:rPr>
        <w:t>, teniendo en cuenta las múltiples dimensiones de la vulnerabilidad</w:t>
      </w:r>
      <w:r w:rsidR="00AA680F" w:rsidRPr="00E74B1B">
        <w:rPr>
          <w:rFonts w:eastAsia="FrutigerLTPro-Condensed" w:cs="FrutigerLTPro-Condensed"/>
          <w:lang w:val="es-ES"/>
        </w:rPr>
        <w:t>.</w:t>
      </w:r>
    </w:p>
    <w:p w14:paraId="7856B2F3" w14:textId="774C4469" w:rsidR="00AA680F" w:rsidRPr="00257594" w:rsidRDefault="00E74B1B" w:rsidP="00AA680F">
      <w:pPr>
        <w:pStyle w:val="WMOBodyText"/>
        <w:numPr>
          <w:ilvl w:val="0"/>
          <w:numId w:val="49"/>
        </w:numPr>
        <w:tabs>
          <w:tab w:val="left" w:pos="1134"/>
        </w:tabs>
        <w:ind w:left="0" w:hanging="11"/>
        <w:rPr>
          <w:b/>
          <w:lang w:val="es-ES"/>
        </w:rPr>
      </w:pPr>
      <w:r w:rsidRPr="00257594">
        <w:rPr>
          <w:lang w:val="es-ES"/>
        </w:rPr>
        <w:t>Las conclusiones del IPCC, en las que se reconoce el valor de la colaboración intersectorial, indican con un nivel de confianza</w:t>
      </w:r>
      <w:r w:rsidR="00257594" w:rsidRPr="00257594">
        <w:rPr>
          <w:lang w:val="es-ES"/>
        </w:rPr>
        <w:t xml:space="preserve"> muy alto que la </w:t>
      </w:r>
      <w:r w:rsidR="00257594">
        <w:rPr>
          <w:lang w:val="es-ES"/>
        </w:rPr>
        <w:t>adopción de medidas de adaptación dinámicas, oportunas y efectivas puede reducir, e incluso evitar, muchos riesgos para la salud y el bienestar de las personas</w:t>
      </w:r>
      <w:r w:rsidR="00AA680F" w:rsidRPr="00257594">
        <w:rPr>
          <w:lang w:val="es-ES"/>
        </w:rPr>
        <w:t>.</w:t>
      </w:r>
    </w:p>
    <w:p w14:paraId="311C1E39" w14:textId="40D0CFE0" w:rsidR="00AA680F" w:rsidRPr="00257594" w:rsidRDefault="00257594" w:rsidP="00AA680F">
      <w:pPr>
        <w:pStyle w:val="Heading3"/>
        <w:rPr>
          <w:b w:val="0"/>
          <w:lang w:val="es-ES"/>
        </w:rPr>
      </w:pPr>
      <w:r w:rsidRPr="00257594">
        <w:rPr>
          <w:lang w:val="es-ES"/>
        </w:rPr>
        <w:t>La colaboración mundial es indispensable para hacer frente a</w:t>
      </w:r>
      <w:r>
        <w:rPr>
          <w:lang w:val="es-ES"/>
        </w:rPr>
        <w:t>l aumento de los riesgos climáticos que afectan a la salud</w:t>
      </w:r>
    </w:p>
    <w:p w14:paraId="1EC0339F" w14:textId="4F658A08" w:rsidR="00AA680F" w:rsidRPr="007E725F" w:rsidRDefault="0033783D" w:rsidP="00AA680F">
      <w:pPr>
        <w:pStyle w:val="WMOBodyText"/>
        <w:numPr>
          <w:ilvl w:val="0"/>
          <w:numId w:val="49"/>
        </w:numPr>
        <w:tabs>
          <w:tab w:val="left" w:pos="1134"/>
        </w:tabs>
        <w:ind w:left="0" w:hanging="11"/>
        <w:rPr>
          <w:b/>
          <w:lang w:val="es-ES"/>
        </w:rPr>
      </w:pPr>
      <w:r w:rsidRPr="0033783D">
        <w:rPr>
          <w:lang w:val="es-ES"/>
        </w:rPr>
        <w:t xml:space="preserve">En virtud del </w:t>
      </w:r>
      <w:r w:rsidR="00905EC8">
        <w:rPr>
          <w:lang w:val="es-ES"/>
        </w:rPr>
        <w:t>M</w:t>
      </w:r>
      <w:r w:rsidRPr="0033783D">
        <w:rPr>
          <w:lang w:val="es-ES"/>
        </w:rPr>
        <w:t xml:space="preserve">arco de </w:t>
      </w:r>
      <w:r w:rsidR="00905EC8">
        <w:rPr>
          <w:lang w:val="es-ES"/>
        </w:rPr>
        <w:t>C</w:t>
      </w:r>
      <w:r w:rsidRPr="0033783D">
        <w:rPr>
          <w:lang w:val="es-ES"/>
        </w:rPr>
        <w:t>olaboración suscrito entre la Organización Mundial de la Salud (OMS) y la Organización Meteorológica Mundial (OMM) en 2018, ambas organizaciones co</w:t>
      </w:r>
      <w:r>
        <w:rPr>
          <w:lang w:val="es-ES"/>
        </w:rPr>
        <w:t xml:space="preserve">nvinieron en trabajar de forma conjunta para proteger mejor la salud humana frente a los riesgos </w:t>
      </w:r>
      <w:r w:rsidR="007E725F">
        <w:rPr>
          <w:lang w:val="es-ES"/>
        </w:rPr>
        <w:t>relacionados con el clima y el medioambiente</w:t>
      </w:r>
      <w:r w:rsidR="00AA680F" w:rsidRPr="007E725F">
        <w:rPr>
          <w:lang w:val="es-ES"/>
        </w:rPr>
        <w:t>.</w:t>
      </w:r>
    </w:p>
    <w:p w14:paraId="4E89161B" w14:textId="161F9255" w:rsidR="00AA680F" w:rsidRPr="00BB0870" w:rsidRDefault="007E725F" w:rsidP="00AA680F">
      <w:pPr>
        <w:pStyle w:val="WMOBodyText"/>
        <w:numPr>
          <w:ilvl w:val="0"/>
          <w:numId w:val="49"/>
        </w:numPr>
        <w:tabs>
          <w:tab w:val="left" w:pos="1134"/>
        </w:tabs>
        <w:ind w:left="0" w:hanging="11"/>
        <w:rPr>
          <w:b/>
          <w:lang w:val="es-ES"/>
        </w:rPr>
      </w:pPr>
      <w:r>
        <w:rPr>
          <w:lang w:val="es-ES"/>
        </w:rPr>
        <w:t xml:space="preserve">La </w:t>
      </w:r>
      <w:r w:rsidRPr="00103F07">
        <w:rPr>
          <w:lang w:val="es-ES"/>
        </w:rPr>
        <w:t>Oficina Conjunta</w:t>
      </w:r>
      <w:r>
        <w:rPr>
          <w:lang w:val="es-ES"/>
        </w:rPr>
        <w:t xml:space="preserve"> OMS-OMM para el Clima y la Salud, creada en 2014, sigue siendo un mecanismo de coordinación fundamental entre la </w:t>
      </w:r>
      <w:r w:rsidR="00905EC8">
        <w:rPr>
          <w:lang w:val="es-ES"/>
        </w:rPr>
        <w:t xml:space="preserve">OMS y la </w:t>
      </w:r>
      <w:r>
        <w:rPr>
          <w:lang w:val="es-ES"/>
        </w:rPr>
        <w:t xml:space="preserve">OMM </w:t>
      </w:r>
      <w:r w:rsidRPr="00143B96">
        <w:rPr>
          <w:lang w:val="es-ES"/>
        </w:rPr>
        <w:t xml:space="preserve">que </w:t>
      </w:r>
      <w:r w:rsidR="00143B96" w:rsidRPr="00143B96">
        <w:rPr>
          <w:lang w:val="es-ES"/>
        </w:rPr>
        <w:t>fortalece</w:t>
      </w:r>
      <w:r w:rsidR="00143B96">
        <w:rPr>
          <w:lang w:val="es-ES"/>
        </w:rPr>
        <w:t xml:space="preserve"> los mecanismos de trabajo a nivel interinstitucional y</w:t>
      </w:r>
      <w:r>
        <w:rPr>
          <w:lang w:val="es-ES"/>
        </w:rPr>
        <w:t xml:space="preserve"> la co</w:t>
      </w:r>
      <w:r w:rsidR="00905EC8">
        <w:rPr>
          <w:lang w:val="es-ES"/>
        </w:rPr>
        <w:t>ordinación</w:t>
      </w:r>
      <w:r>
        <w:rPr>
          <w:lang w:val="es-ES"/>
        </w:rPr>
        <w:t xml:space="preserve"> </w:t>
      </w:r>
      <w:r w:rsidR="00143B96">
        <w:rPr>
          <w:lang w:val="es-ES"/>
        </w:rPr>
        <w:t xml:space="preserve">intersectorial en los planos mundial, regional y nacional. </w:t>
      </w:r>
      <w:r w:rsidR="00143B96" w:rsidRPr="00BB0870">
        <w:rPr>
          <w:lang w:val="es-ES"/>
        </w:rPr>
        <w:t>Es necesario establecer mecanismos adicionales que promuevan la colaboración</w:t>
      </w:r>
      <w:r w:rsidR="00BB0870" w:rsidRPr="00BB0870">
        <w:rPr>
          <w:lang w:val="es-ES"/>
        </w:rPr>
        <w:t xml:space="preserve"> en el</w:t>
      </w:r>
      <w:r w:rsidR="00BB0870">
        <w:rPr>
          <w:lang w:val="es-ES"/>
        </w:rPr>
        <w:t xml:space="preserve"> ámbito del clima y la salud en distintos niveles entre la comunidad científica, los gobiernos y la sociedad civil</w:t>
      </w:r>
      <w:r w:rsidR="00AA680F" w:rsidRPr="00BB0870">
        <w:rPr>
          <w:lang w:val="es-ES"/>
        </w:rPr>
        <w:t>.</w:t>
      </w:r>
      <w:r w:rsidRPr="00BB0870">
        <w:rPr>
          <w:lang w:val="es-ES"/>
        </w:rPr>
        <w:t xml:space="preserve">  </w:t>
      </w:r>
    </w:p>
    <w:p w14:paraId="7C21DE40" w14:textId="178DE0D1" w:rsidR="00AA680F" w:rsidRPr="00BB0870" w:rsidRDefault="00541655" w:rsidP="00AA680F">
      <w:pPr>
        <w:pStyle w:val="WMOBodyText"/>
        <w:numPr>
          <w:ilvl w:val="0"/>
          <w:numId w:val="49"/>
        </w:numPr>
        <w:tabs>
          <w:tab w:val="left" w:pos="1134"/>
        </w:tabs>
        <w:ind w:left="0" w:hanging="11"/>
        <w:rPr>
          <w:b/>
          <w:lang w:val="es-ES"/>
        </w:rPr>
      </w:pPr>
      <w:r>
        <w:rPr>
          <w:lang w:val="es-ES"/>
        </w:rPr>
        <w:t>Si bien en</w:t>
      </w:r>
      <w:r w:rsidR="00BB0870" w:rsidRPr="00BB0870">
        <w:rPr>
          <w:lang w:val="es-ES"/>
        </w:rPr>
        <w:t xml:space="preserve"> la </w:t>
      </w:r>
      <w:hyperlink r:id="rId14" w:anchor="page=131" w:history="1">
        <w:r w:rsidR="00BB0870" w:rsidRPr="00BB0870">
          <w:rPr>
            <w:rStyle w:val="Hyperlink"/>
            <w:lang w:val="es-ES"/>
          </w:rPr>
          <w:t>Resolución 33 (Cg-18)</w:t>
        </w:r>
      </w:hyperlink>
      <w:r w:rsidR="00BB0870" w:rsidRPr="00BB0870">
        <w:rPr>
          <w:lang w:val="es-ES"/>
        </w:rPr>
        <w:t xml:space="preserve"> relativa al fomento de los servicios de salud integrados se establecen prio</w:t>
      </w:r>
      <w:r w:rsidR="00BB0870">
        <w:rPr>
          <w:lang w:val="es-ES"/>
        </w:rPr>
        <w:t xml:space="preserve">ridades técnicas y estratégicas en materia de colaboración, </w:t>
      </w:r>
      <w:r>
        <w:rPr>
          <w:lang w:val="es-ES"/>
        </w:rPr>
        <w:t>no se aborda la creación de un mecanismo claro ni las necesidades financieras</w:t>
      </w:r>
      <w:r w:rsidR="00AA680F" w:rsidRPr="00BB0870">
        <w:rPr>
          <w:lang w:val="es-ES"/>
        </w:rPr>
        <w:t>.</w:t>
      </w:r>
    </w:p>
    <w:p w14:paraId="3A58324A" w14:textId="3AF01205" w:rsidR="00AA680F" w:rsidRPr="006D508B" w:rsidRDefault="006D508B" w:rsidP="00AA680F">
      <w:pPr>
        <w:pStyle w:val="Heading3"/>
        <w:rPr>
          <w:b w:val="0"/>
          <w:lang w:val="es-ES" w:eastAsia="en-US"/>
        </w:rPr>
      </w:pPr>
      <w:r w:rsidRPr="006D508B">
        <w:rPr>
          <w:lang w:val="es-ES" w:eastAsia="en-US"/>
        </w:rPr>
        <w:t xml:space="preserve">Aplicación de mecanismos y medidas innovadores para mejorar la </w:t>
      </w:r>
      <w:r>
        <w:rPr>
          <w:lang w:val="es-ES" w:eastAsia="en-US"/>
        </w:rPr>
        <w:t>salud y el bienestar de las personas</w:t>
      </w:r>
    </w:p>
    <w:p w14:paraId="648E103B" w14:textId="77A59B31" w:rsidR="00AA680F" w:rsidRPr="001936A3" w:rsidRDefault="00684674" w:rsidP="00684674">
      <w:pPr>
        <w:pStyle w:val="WMOBodyText"/>
        <w:numPr>
          <w:ilvl w:val="0"/>
          <w:numId w:val="49"/>
        </w:numPr>
        <w:tabs>
          <w:tab w:val="left" w:pos="1134"/>
        </w:tabs>
        <w:ind w:left="0" w:hanging="11"/>
        <w:rPr>
          <w:b/>
          <w:lang w:val="es-ES"/>
        </w:rPr>
      </w:pPr>
      <w:r w:rsidRPr="00684674">
        <w:rPr>
          <w:lang w:val="es-ES"/>
        </w:rPr>
        <w:t xml:space="preserve">En el Plan de Ejecución para Contribuir al Progreso de la Ciencia y los Servicios Integrados en el Ámbito del Clima y la Salud </w:t>
      </w:r>
      <w:r w:rsidR="00582D98">
        <w:rPr>
          <w:lang w:val="es-ES"/>
        </w:rPr>
        <w:t>(</w:t>
      </w:r>
      <w:r w:rsidRPr="00684674">
        <w:rPr>
          <w:lang w:val="es-ES"/>
        </w:rPr>
        <w:t>2023-203</w:t>
      </w:r>
      <w:r w:rsidR="00582D98">
        <w:rPr>
          <w:lang w:val="es-ES"/>
        </w:rPr>
        <w:t>3)</w:t>
      </w:r>
      <w:r w:rsidRPr="00684674">
        <w:rPr>
          <w:lang w:val="es-ES"/>
        </w:rPr>
        <w:t xml:space="preserve">, elaborado por el Grupo Mixto OMM-OMS sobre Servicios de Salud Integrados (SG-HEA), se describen planteamientos innovadores, mecanismos duraderos y oportunidades de colaboración para </w:t>
      </w:r>
      <w:r w:rsidR="00541655" w:rsidRPr="00684674">
        <w:rPr>
          <w:lang w:val="es-ES"/>
        </w:rPr>
        <w:t>mejorar la salud y el bienestar de las personas que se enfrentan a los fenómenos</w:t>
      </w:r>
      <w:r w:rsidR="00541655" w:rsidRPr="00541655">
        <w:rPr>
          <w:lang w:val="es-ES"/>
        </w:rPr>
        <w:t xml:space="preserve"> meteorológicos extremos, tanto actuales como nuevos, al cambio climático y a los riesgos medioambientales mediante la integración efectiva de la ciencia y los servicios en los ámbitos del clima, el medioambiente y la salud en todo el mundo</w:t>
      </w:r>
      <w:r>
        <w:rPr>
          <w:lang w:val="es-ES"/>
        </w:rPr>
        <w:t>.</w:t>
      </w:r>
    </w:p>
    <w:p w14:paraId="246BCF47" w14:textId="6D3592CB" w:rsidR="00514EAC" w:rsidRPr="00143B96" w:rsidRDefault="001936A3" w:rsidP="001936A3">
      <w:pPr>
        <w:pStyle w:val="WMOBodyText"/>
        <w:numPr>
          <w:ilvl w:val="0"/>
          <w:numId w:val="49"/>
        </w:numPr>
        <w:tabs>
          <w:tab w:val="left" w:pos="1134"/>
        </w:tabs>
        <w:ind w:left="0" w:hanging="11"/>
        <w:rPr>
          <w:lang w:val="es-ES"/>
        </w:rPr>
      </w:pPr>
      <w:r w:rsidRPr="001936A3">
        <w:rPr>
          <w:lang w:val="es-ES"/>
        </w:rPr>
        <w:t xml:space="preserve">De acuerdo con lo expuesto anteriormente, puede que el Consejo Ejecutivo desee aprobar el </w:t>
      </w:r>
      <w:hyperlink w:anchor="_Proyecto_de_Resolución" w:history="1">
        <w:r w:rsidRPr="001936A3">
          <w:rPr>
            <w:rStyle w:val="Hyperlink"/>
            <w:lang w:val="es-ES"/>
          </w:rPr>
          <w:t xml:space="preserve">proyecto de </w:t>
        </w:r>
        <w:r w:rsidR="00905EC8">
          <w:rPr>
            <w:rStyle w:val="Hyperlink"/>
            <w:lang w:val="es-ES"/>
          </w:rPr>
          <w:t>r</w:t>
        </w:r>
        <w:r w:rsidRPr="001936A3">
          <w:rPr>
            <w:rStyle w:val="Hyperlink"/>
            <w:lang w:val="es-ES"/>
          </w:rPr>
          <w:t>esolución 3.1(15)</w:t>
        </w:r>
      </w:hyperlink>
      <w:r w:rsidRPr="001936A3">
        <w:rPr>
          <w:lang w:val="es-ES"/>
        </w:rPr>
        <w:t xml:space="preserve"> </w:t>
      </w:r>
      <w:r>
        <w:rPr>
          <w:lang w:val="es-ES"/>
        </w:rPr>
        <w:t>que figura a continuación</w:t>
      </w:r>
      <w:r w:rsidR="00AA680F" w:rsidRPr="001936A3">
        <w:rPr>
          <w:lang w:val="es-ES"/>
        </w:rPr>
        <w:t>.</w:t>
      </w:r>
    </w:p>
    <w:p w14:paraId="3B6CE36F" w14:textId="77777777" w:rsidR="00915FF1" w:rsidRPr="00143B96" w:rsidRDefault="00915FF1" w:rsidP="004E27E8">
      <w:pPr>
        <w:pStyle w:val="WMOBodyText"/>
        <w:jc w:val="center"/>
        <w:rPr>
          <w:lang w:val="es-ES"/>
        </w:rPr>
      </w:pPr>
      <w:r w:rsidRPr="00143B96">
        <w:rPr>
          <w:lang w:val="es-ES"/>
        </w:rPr>
        <w:br w:type="page"/>
      </w:r>
    </w:p>
    <w:p w14:paraId="67B82CF9" w14:textId="5DDCFE85" w:rsidR="00614727" w:rsidRPr="00633FDB" w:rsidRDefault="00614727" w:rsidP="00614727">
      <w:pPr>
        <w:pStyle w:val="Heading1"/>
        <w:rPr>
          <w:lang w:val="es-ES_tradnl"/>
        </w:rPr>
      </w:pPr>
      <w:bookmarkStart w:id="6" w:name="_Annex_to_draft_1"/>
      <w:bookmarkEnd w:id="6"/>
      <w:r w:rsidRPr="00633FDB">
        <w:rPr>
          <w:lang w:val="es-ES_tradnl"/>
        </w:rPr>
        <w:lastRenderedPageBreak/>
        <w:t>PROYECTO DE RESOLUCIÓN</w:t>
      </w:r>
    </w:p>
    <w:p w14:paraId="34C74011" w14:textId="41410AEC" w:rsidR="00614727" w:rsidRPr="00633FDB" w:rsidRDefault="00614727" w:rsidP="00614727">
      <w:pPr>
        <w:pStyle w:val="Heading2"/>
      </w:pPr>
      <w:bookmarkStart w:id="7" w:name="_Proyecto_de_Resolución"/>
      <w:bookmarkEnd w:id="7"/>
      <w:r w:rsidRPr="00633FDB">
        <w:t xml:space="preserve">Proyecto de Resolución </w:t>
      </w:r>
      <w:r w:rsidR="0049135C">
        <w:t>3.1(15)</w:t>
      </w:r>
      <w:r w:rsidRPr="00633FDB">
        <w:t>/1 (EC-7</w:t>
      </w:r>
      <w:r>
        <w:t>6</w:t>
      </w:r>
      <w:r w:rsidRPr="00633FDB">
        <w:t>)</w:t>
      </w:r>
    </w:p>
    <w:p w14:paraId="29CE583A" w14:textId="09A64741" w:rsidR="00582D98" w:rsidRDefault="00582D98" w:rsidP="00582D98">
      <w:pPr>
        <w:pStyle w:val="Heading3"/>
        <w:spacing w:after="240"/>
        <w:jc w:val="center"/>
        <w:rPr>
          <w:iCs/>
          <w:sz w:val="22"/>
          <w:szCs w:val="22"/>
          <w:lang w:val="es-ES"/>
        </w:rPr>
      </w:pPr>
      <w:r w:rsidRPr="00582D98">
        <w:rPr>
          <w:iCs/>
          <w:sz w:val="22"/>
          <w:szCs w:val="22"/>
          <w:lang w:val="es-ES"/>
        </w:rPr>
        <w:t>Plan de Ejecución para Contribuir al Progreso de la Ciencia y los Servicios Integrados en el Ámbito del Clima y la Salud (2023-203</w:t>
      </w:r>
      <w:r>
        <w:rPr>
          <w:iCs/>
          <w:sz w:val="22"/>
          <w:szCs w:val="22"/>
          <w:lang w:val="es-ES"/>
        </w:rPr>
        <w:t>3</w:t>
      </w:r>
      <w:r w:rsidRPr="00582D98">
        <w:rPr>
          <w:iCs/>
          <w:sz w:val="22"/>
          <w:szCs w:val="22"/>
          <w:lang w:val="es-ES"/>
        </w:rPr>
        <w:t>)</w:t>
      </w:r>
    </w:p>
    <w:p w14:paraId="5F0D3929" w14:textId="3F4088D6" w:rsidR="00237D44" w:rsidRPr="00395E1D" w:rsidRDefault="00237D44" w:rsidP="00237D44">
      <w:pPr>
        <w:pStyle w:val="Heading3"/>
        <w:spacing w:after="240"/>
        <w:rPr>
          <w:b w:val="0"/>
          <w:bCs w:val="0"/>
          <w:lang w:val="es-ES"/>
        </w:rPr>
      </w:pPr>
      <w:r w:rsidRPr="00395E1D">
        <w:rPr>
          <w:b w:val="0"/>
          <w:bCs w:val="0"/>
          <w:lang w:val="es-ES"/>
        </w:rPr>
        <w:t>EL CONSEJO EJECUTIVO</w:t>
      </w:r>
      <w:r>
        <w:rPr>
          <w:b w:val="0"/>
          <w:bCs w:val="0"/>
          <w:lang w:val="es-ES"/>
        </w:rPr>
        <w:t>,</w:t>
      </w:r>
    </w:p>
    <w:p w14:paraId="24E65DD3" w14:textId="77777777" w:rsidR="00915FF1" w:rsidRPr="00D063FC" w:rsidRDefault="00915FF1" w:rsidP="00915FF1">
      <w:pPr>
        <w:pStyle w:val="WMOBodyText"/>
        <w:rPr>
          <w:b/>
          <w:bCs/>
          <w:color w:val="000000" w:themeColor="text1"/>
          <w:lang w:val="es-ES"/>
        </w:rPr>
      </w:pPr>
      <w:r>
        <w:rPr>
          <w:b/>
          <w:bCs/>
          <w:lang w:val="es-ES"/>
        </w:rPr>
        <w:t>Recordando</w:t>
      </w:r>
      <w:r w:rsidRPr="00EA2AE6">
        <w:rPr>
          <w:lang w:val="es-ES"/>
        </w:rPr>
        <w:t>:</w:t>
      </w:r>
    </w:p>
    <w:p w14:paraId="34AA223F" w14:textId="05920296" w:rsidR="00915FF1" w:rsidRPr="00D063FC" w:rsidRDefault="00915FF1" w:rsidP="00915FF1">
      <w:pPr>
        <w:pStyle w:val="WMOBodyText"/>
        <w:ind w:left="567" w:hanging="567"/>
        <w:rPr>
          <w:color w:val="000000" w:themeColor="text1"/>
          <w:lang w:val="es-ES"/>
        </w:rPr>
      </w:pPr>
      <w:r>
        <w:rPr>
          <w:lang w:val="es-ES"/>
        </w:rPr>
        <w:t>1)</w:t>
      </w:r>
      <w:r>
        <w:rPr>
          <w:lang w:val="es-ES"/>
        </w:rPr>
        <w:tab/>
        <w:t xml:space="preserve">la </w:t>
      </w:r>
      <w:hyperlink r:id="rId15" w:anchor="page=131" w:history="1">
        <w:r w:rsidRPr="00642828">
          <w:rPr>
            <w:rStyle w:val="Hyperlink"/>
            <w:lang w:val="es-ES"/>
          </w:rPr>
          <w:t>Resolución 33 (Cg-18)</w:t>
        </w:r>
      </w:hyperlink>
      <w:r>
        <w:rPr>
          <w:lang w:val="es-ES"/>
        </w:rPr>
        <w:t xml:space="preserve"> — Fomento de los servicios de salud integrados,</w:t>
      </w:r>
    </w:p>
    <w:p w14:paraId="7DF0A65F" w14:textId="4CD5843F" w:rsidR="00915FF1" w:rsidRPr="00D063FC" w:rsidRDefault="00915FF1" w:rsidP="00915FF1">
      <w:pPr>
        <w:pStyle w:val="WMOBodyText"/>
        <w:spacing w:after="240"/>
        <w:ind w:left="567" w:hanging="567"/>
        <w:rPr>
          <w:rStyle w:val="Hyperlink"/>
          <w:color w:val="000000" w:themeColor="text1"/>
          <w:lang w:val="es-ES"/>
        </w:rPr>
      </w:pPr>
      <w:r>
        <w:rPr>
          <w:lang w:val="es-ES"/>
        </w:rPr>
        <w:t>2)</w:t>
      </w:r>
      <w:r>
        <w:rPr>
          <w:lang w:val="es-ES"/>
        </w:rPr>
        <w:tab/>
        <w:t xml:space="preserve">la </w:t>
      </w:r>
      <w:hyperlink r:id="rId16" w:anchor="page=13" w:history="1">
        <w:r w:rsidRPr="00915FF1">
          <w:rPr>
            <w:rStyle w:val="Hyperlink"/>
            <w:lang w:val="es-ES"/>
          </w:rPr>
          <w:t>Resolución 1 (Cg-Ext.(2012))</w:t>
        </w:r>
      </w:hyperlink>
      <w:r>
        <w:rPr>
          <w:lang w:val="es-ES"/>
        </w:rPr>
        <w:t xml:space="preserve"> — Plan de </w:t>
      </w:r>
      <w:r w:rsidR="0049135C">
        <w:rPr>
          <w:lang w:val="es-ES"/>
        </w:rPr>
        <w:t>E</w:t>
      </w:r>
      <w:r>
        <w:rPr>
          <w:lang w:val="es-ES"/>
        </w:rPr>
        <w:t>jecución del Marco Mundial para los Servicios Climáticos, en la que la salud se consideró una esfera prioritaria,</w:t>
      </w:r>
    </w:p>
    <w:p w14:paraId="64364E81" w14:textId="40B992B7" w:rsidR="00915FF1" w:rsidRPr="00D063FC" w:rsidRDefault="00915FF1" w:rsidP="00915FF1">
      <w:pPr>
        <w:tabs>
          <w:tab w:val="clear" w:pos="1134"/>
          <w:tab w:val="left" w:pos="567"/>
        </w:tabs>
        <w:autoSpaceDE w:val="0"/>
        <w:autoSpaceDN w:val="0"/>
        <w:adjustRightInd w:val="0"/>
        <w:ind w:left="567" w:hanging="567"/>
        <w:jc w:val="left"/>
        <w:rPr>
          <w:rFonts w:eastAsia="MS Mincho" w:cs="Times New Roman"/>
          <w:lang w:val="es-ES"/>
        </w:rPr>
      </w:pPr>
      <w:r>
        <w:rPr>
          <w:lang w:val="es-ES"/>
        </w:rPr>
        <w:t>3)</w:t>
      </w:r>
      <w:r>
        <w:rPr>
          <w:lang w:val="es-ES"/>
        </w:rPr>
        <w:tab/>
        <w:t xml:space="preserve">la </w:t>
      </w:r>
      <w:hyperlink r:id="rId17" w:anchor="page=638" w:history="1">
        <w:r w:rsidRPr="00EA2AE6">
          <w:rPr>
            <w:rStyle w:val="Hyperlink"/>
            <w:lang w:val="es-ES"/>
          </w:rPr>
          <w:t>Resolución 47 (Cg-17)</w:t>
        </w:r>
      </w:hyperlink>
      <w:r>
        <w:rPr>
          <w:lang w:val="es-ES"/>
        </w:rPr>
        <w:t xml:space="preserve"> — Programa de la Vigilancia de la Atmósfera Global, y la </w:t>
      </w:r>
      <w:hyperlink r:id="rId18" w:anchor="page=230" w:history="1">
        <w:r w:rsidRPr="00EA2AE6">
          <w:rPr>
            <w:rStyle w:val="Hyperlink"/>
            <w:lang w:val="es-ES"/>
          </w:rPr>
          <w:t>Decisión 62 (EC-68)</w:t>
        </w:r>
      </w:hyperlink>
      <w:r>
        <w:rPr>
          <w:lang w:val="es-ES"/>
        </w:rPr>
        <w:t xml:space="preserve"> — Plan de Ejecución de la Vigilancia de la Atmósfera Global para el período 2016-2023,</w:t>
      </w:r>
    </w:p>
    <w:p w14:paraId="126EA7B2" w14:textId="26FF6947" w:rsidR="00915FF1" w:rsidRPr="0023287B" w:rsidRDefault="00915FF1" w:rsidP="00915FF1">
      <w:pPr>
        <w:pStyle w:val="WMOBodyText"/>
        <w:ind w:left="567" w:hanging="567"/>
        <w:rPr>
          <w:bCs/>
          <w:lang w:val="es-ES"/>
        </w:rPr>
      </w:pPr>
      <w:r>
        <w:rPr>
          <w:lang w:val="es-ES"/>
        </w:rPr>
        <w:t>4)</w:t>
      </w:r>
      <w:r>
        <w:rPr>
          <w:lang w:val="es-ES"/>
        </w:rPr>
        <w:tab/>
      </w:r>
      <w:r w:rsidR="0049135C">
        <w:rPr>
          <w:lang w:val="es-ES"/>
        </w:rPr>
        <w:t xml:space="preserve">la </w:t>
      </w:r>
      <w:hyperlink r:id="rId19" w:anchor="page=131" w:history="1">
        <w:r w:rsidR="0049135C" w:rsidRPr="00642828">
          <w:rPr>
            <w:rStyle w:val="Hyperlink"/>
            <w:lang w:val="es-ES"/>
          </w:rPr>
          <w:t>Resolución 33 (Cg-18)</w:t>
        </w:r>
      </w:hyperlink>
      <w:r w:rsidR="0049135C">
        <w:rPr>
          <w:lang w:val="es-ES"/>
        </w:rPr>
        <w:t xml:space="preserve"> — Fomento de los servicios de salud integrados, y su anexo — Resumen del Plan Rector de la Organización Mundial de la Salud y la Organización Meteorológica Mundial </w:t>
      </w:r>
      <w:r w:rsidR="00B15ADC">
        <w:rPr>
          <w:lang w:val="es-ES"/>
        </w:rPr>
        <w:t>en el Ámbito de la Salud, el Medioambiente y el Clima basado en un Enfoque de la Ciencia a los Servicios</w:t>
      </w:r>
      <w:r w:rsidR="0049135C">
        <w:rPr>
          <w:lang w:val="es-ES"/>
        </w:rPr>
        <w:t>,</w:t>
      </w:r>
    </w:p>
    <w:p w14:paraId="3A2422AB" w14:textId="6DD90392" w:rsidR="00915FF1" w:rsidRPr="00D063FC" w:rsidRDefault="00915FF1" w:rsidP="00915FF1">
      <w:pPr>
        <w:pStyle w:val="WMOBodyText"/>
        <w:ind w:left="567" w:hanging="567"/>
        <w:rPr>
          <w:color w:val="000000" w:themeColor="text1"/>
          <w:lang w:val="es-ES"/>
        </w:rPr>
      </w:pPr>
      <w:r>
        <w:rPr>
          <w:lang w:val="es-ES"/>
        </w:rPr>
        <w:t>5)</w:t>
      </w:r>
      <w:r>
        <w:rPr>
          <w:lang w:val="es-ES"/>
        </w:rPr>
        <w:tab/>
        <w:t xml:space="preserve">el </w:t>
      </w:r>
      <w:hyperlink r:id="rId20" w:anchor="page=18" w:history="1">
        <w:r w:rsidRPr="00EA2AE6">
          <w:rPr>
            <w:rStyle w:val="Hyperlink"/>
            <w:lang w:val="es-ES"/>
          </w:rPr>
          <w:t>anexo a la Resolución 1 (SERCOM-1)</w:t>
        </w:r>
      </w:hyperlink>
      <w:r>
        <w:rPr>
          <w:lang w:val="es-ES"/>
        </w:rPr>
        <w:t xml:space="preserve"> — Mandatos de los comités permanentes y los grupos de estudio,</w:t>
      </w:r>
    </w:p>
    <w:p w14:paraId="1752CD25" w14:textId="2F768DE1" w:rsidR="00915FF1" w:rsidRDefault="00915FF1" w:rsidP="00915FF1">
      <w:pPr>
        <w:pStyle w:val="WMOBodyText"/>
        <w:ind w:left="567" w:hanging="567"/>
        <w:rPr>
          <w:lang w:val="es-ES"/>
        </w:rPr>
      </w:pPr>
      <w:r>
        <w:rPr>
          <w:lang w:val="es-ES"/>
        </w:rPr>
        <w:t>6)</w:t>
      </w:r>
      <w:r>
        <w:rPr>
          <w:lang w:val="es-ES"/>
        </w:rPr>
        <w:tab/>
        <w:t xml:space="preserve">la </w:t>
      </w:r>
      <w:hyperlink r:id="rId21" w:anchor="page=187" w:history="1">
        <w:r w:rsidRPr="00EA2AE6">
          <w:rPr>
            <w:rStyle w:val="Hyperlink"/>
            <w:lang w:val="es-ES"/>
          </w:rPr>
          <w:t>Recomendación 7 (SERCOM-1)</w:t>
        </w:r>
      </w:hyperlink>
      <w:r>
        <w:rPr>
          <w:lang w:val="es-ES"/>
        </w:rPr>
        <w:t xml:space="preserve"> — Servicios de </w:t>
      </w:r>
      <w:r w:rsidR="00EA2AE6">
        <w:rPr>
          <w:lang w:val="es-ES"/>
        </w:rPr>
        <w:t>s</w:t>
      </w:r>
      <w:r>
        <w:rPr>
          <w:lang w:val="es-ES"/>
        </w:rPr>
        <w:t xml:space="preserve">alud </w:t>
      </w:r>
      <w:r w:rsidR="00EA2AE6">
        <w:rPr>
          <w:lang w:val="es-ES"/>
        </w:rPr>
        <w:t>i</w:t>
      </w:r>
      <w:r>
        <w:rPr>
          <w:lang w:val="es-ES"/>
        </w:rPr>
        <w:t>ntegrados,</w:t>
      </w:r>
    </w:p>
    <w:p w14:paraId="722DB658" w14:textId="35A4FC04" w:rsidR="00B15ADC" w:rsidRPr="00B15ADC" w:rsidRDefault="00B15ADC" w:rsidP="00915FF1">
      <w:pPr>
        <w:pStyle w:val="WMOBodyText"/>
        <w:ind w:left="567" w:hanging="567"/>
        <w:rPr>
          <w:color w:val="000000" w:themeColor="text1"/>
          <w:lang w:val="es-ES"/>
        </w:rPr>
      </w:pPr>
      <w:r>
        <w:rPr>
          <w:lang w:val="es-ES"/>
        </w:rPr>
        <w:t>7)</w:t>
      </w:r>
      <w:r>
        <w:rPr>
          <w:lang w:val="es-ES"/>
        </w:rPr>
        <w:tab/>
        <w:t xml:space="preserve">la </w:t>
      </w:r>
      <w:hyperlink r:id="rId22" w:history="1">
        <w:r w:rsidRPr="0004247E">
          <w:rPr>
            <w:rStyle w:val="Hyperlink"/>
            <w:lang w:val="es-ES"/>
          </w:rPr>
          <w:t>Recomendación 5.10(3) (SERCOM-2)</w:t>
        </w:r>
      </w:hyperlink>
      <w:r>
        <w:rPr>
          <w:lang w:val="es-ES"/>
        </w:rPr>
        <w:t xml:space="preserve"> — </w:t>
      </w:r>
      <w:bookmarkStart w:id="8" w:name="_Hlk126316724"/>
      <w:r w:rsidRPr="00B15ADC">
        <w:rPr>
          <w:lang w:val="es-ES"/>
        </w:rPr>
        <w:t>Plan de Ejecución para Contribuir al Progreso de la Ciencia y los Servicios Integrados en el Ámbito del Clima y la Salud</w:t>
      </w:r>
      <w:bookmarkEnd w:id="8"/>
      <w:r>
        <w:rPr>
          <w:lang w:val="es-ES"/>
        </w:rPr>
        <w:t>,</w:t>
      </w:r>
    </w:p>
    <w:p w14:paraId="47CAE1E4" w14:textId="77777777" w:rsidR="00EA2AE6" w:rsidRPr="00D063FC" w:rsidRDefault="00EA2AE6" w:rsidP="00EA2AE6">
      <w:pPr>
        <w:pStyle w:val="WMOBodyText"/>
        <w:rPr>
          <w:b/>
          <w:bCs/>
          <w:color w:val="000000" w:themeColor="text1"/>
          <w:lang w:val="es-ES"/>
        </w:rPr>
      </w:pPr>
      <w:r w:rsidRPr="001C5637">
        <w:rPr>
          <w:b/>
          <w:bCs/>
          <w:lang w:val="es-ES"/>
        </w:rPr>
        <w:t>Notando</w:t>
      </w:r>
      <w:r w:rsidRPr="00EA2AE6">
        <w:rPr>
          <w:lang w:val="es-ES"/>
        </w:rPr>
        <w:t>:</w:t>
      </w:r>
    </w:p>
    <w:p w14:paraId="4D48B7ED" w14:textId="795B5291" w:rsidR="00EA2AE6" w:rsidRPr="00171D87" w:rsidRDefault="00EA2AE6" w:rsidP="00EA2AE6">
      <w:pPr>
        <w:pStyle w:val="WMOBodyText"/>
        <w:ind w:left="567" w:hanging="567"/>
        <w:rPr>
          <w:color w:val="000000" w:themeColor="text1"/>
          <w:lang w:val="es-ES"/>
        </w:rPr>
      </w:pPr>
      <w:r>
        <w:rPr>
          <w:lang w:val="es-ES"/>
        </w:rPr>
        <w:t>1)</w:t>
      </w:r>
      <w:r>
        <w:rPr>
          <w:lang w:val="es-ES"/>
        </w:rPr>
        <w:tab/>
        <w:t xml:space="preserve">los arreglos de </w:t>
      </w:r>
      <w:r w:rsidRPr="00171D87">
        <w:rPr>
          <w:lang w:val="es-ES"/>
        </w:rPr>
        <w:t>trabajo suscritos con la Organización Mundial de la Salud (OMS) (1952),</w:t>
      </w:r>
    </w:p>
    <w:p w14:paraId="79C4DF9A" w14:textId="3C548C4F" w:rsidR="00EA2AE6" w:rsidRPr="00171D87" w:rsidRDefault="00EA2AE6" w:rsidP="00EA2AE6">
      <w:pPr>
        <w:pStyle w:val="WMOBodyText"/>
        <w:ind w:left="567" w:hanging="567"/>
        <w:rPr>
          <w:color w:val="000000" w:themeColor="text1"/>
          <w:lang w:val="es-ES"/>
        </w:rPr>
      </w:pPr>
      <w:r w:rsidRPr="00171D87">
        <w:rPr>
          <w:lang w:val="es-ES"/>
        </w:rPr>
        <w:t>2)</w:t>
      </w:r>
      <w:r w:rsidRPr="00171D87">
        <w:rPr>
          <w:lang w:val="es-ES"/>
        </w:rPr>
        <w:tab/>
        <w:t>el Marco de Colaboración en materia de Clima, Medioambiente y Salud suscrito entre la Organización Meteorológica Mundial (OMM) y la OMS en 2018,</w:t>
      </w:r>
    </w:p>
    <w:p w14:paraId="10C3155A" w14:textId="09880678" w:rsidR="00EA2AE6" w:rsidRPr="00171D87" w:rsidRDefault="00EA2AE6" w:rsidP="00EA2AE6">
      <w:pPr>
        <w:pStyle w:val="WMOBodyText"/>
        <w:ind w:left="567" w:hanging="567"/>
        <w:rPr>
          <w:color w:val="000000" w:themeColor="text1"/>
          <w:lang w:val="es-ES"/>
        </w:rPr>
      </w:pPr>
      <w:r w:rsidRPr="00171D87">
        <w:rPr>
          <w:lang w:val="es-ES"/>
        </w:rPr>
        <w:t>3)</w:t>
      </w:r>
      <w:r w:rsidRPr="00171D87">
        <w:rPr>
          <w:lang w:val="es-ES"/>
        </w:rPr>
        <w:tab/>
        <w:t>que la Oficina Conjunta OMS-OMM para el Clima y la Salud, creada en 2014, es un mecanismo de coordinación fundamental entre la OMM y la OMS que potencia la colaboración y la armonización a nivel interinstitucional y apoya la aplicación de los mecanismos y las medidas propuestos,</w:t>
      </w:r>
    </w:p>
    <w:p w14:paraId="2716E1A8" w14:textId="504EA985" w:rsidR="00EA2AE6" w:rsidRPr="00171D87" w:rsidRDefault="00EA2AE6" w:rsidP="00EA2AE6">
      <w:pPr>
        <w:pStyle w:val="WMOBodyText"/>
        <w:ind w:left="567" w:hanging="567"/>
        <w:rPr>
          <w:color w:val="000000" w:themeColor="text1"/>
          <w:lang w:val="es-ES"/>
        </w:rPr>
      </w:pPr>
      <w:r w:rsidRPr="00171D87">
        <w:rPr>
          <w:lang w:val="es-ES"/>
        </w:rPr>
        <w:t>4)</w:t>
      </w:r>
      <w:r w:rsidRPr="00171D87">
        <w:rPr>
          <w:lang w:val="es-ES"/>
        </w:rPr>
        <w:tab/>
        <w:t>que muchas actividades conjuntas se financiarán con cargo a recursos extrapresupuestarios,</w:t>
      </w:r>
    </w:p>
    <w:p w14:paraId="33DBBA35" w14:textId="6C51D9EA" w:rsidR="00EA2AE6" w:rsidRPr="00171D87" w:rsidRDefault="00EA2AE6" w:rsidP="00EA2AE6">
      <w:pPr>
        <w:pStyle w:val="WMOBodyText"/>
        <w:ind w:left="567" w:hanging="567"/>
        <w:rPr>
          <w:color w:val="000000" w:themeColor="text1"/>
          <w:lang w:val="es-ES"/>
        </w:rPr>
      </w:pPr>
      <w:r w:rsidRPr="00171D87">
        <w:rPr>
          <w:color w:val="000000" w:themeColor="text1"/>
          <w:lang w:val="es-ES"/>
        </w:rPr>
        <w:t>5)</w:t>
      </w:r>
      <w:r w:rsidRPr="00171D87">
        <w:rPr>
          <w:color w:val="000000" w:themeColor="text1"/>
          <w:lang w:val="es-ES"/>
        </w:rPr>
        <w:tab/>
      </w:r>
      <w:r w:rsidRPr="00171D87">
        <w:rPr>
          <w:lang w:val="es-ES"/>
        </w:rPr>
        <w:t>la colaboración continua entre profesionales del clima y de la salud en los planos regional y nacional,</w:t>
      </w:r>
    </w:p>
    <w:p w14:paraId="0F83445F" w14:textId="128B60F6" w:rsidR="00EA2AE6" w:rsidRPr="00171D87" w:rsidRDefault="00EA2AE6" w:rsidP="00EA2AE6">
      <w:pPr>
        <w:pStyle w:val="WMOBodyText"/>
        <w:ind w:left="567" w:hanging="567"/>
        <w:rPr>
          <w:lang w:val="es-ES"/>
        </w:rPr>
      </w:pPr>
      <w:r w:rsidRPr="00171D87">
        <w:rPr>
          <w:lang w:val="es-ES"/>
        </w:rPr>
        <w:t>6)</w:t>
      </w:r>
      <w:r w:rsidRPr="00171D87">
        <w:rPr>
          <w:lang w:val="es-ES"/>
        </w:rPr>
        <w:tab/>
        <w:t>que los coordinadores de la OMM en el ámbito de los servicios de salud integrados, en cuanto que representantes regionales y nacionales, son asociados clave para apoyar la aplicación de los mecanismos y las medidas propuestos,</w:t>
      </w:r>
    </w:p>
    <w:p w14:paraId="08137B43" w14:textId="60505984" w:rsidR="00CD5EE0" w:rsidRPr="00171D87" w:rsidRDefault="00CD5EE0" w:rsidP="00CD5EE0">
      <w:pPr>
        <w:pStyle w:val="WMOBodyText"/>
        <w:rPr>
          <w:color w:val="000000" w:themeColor="text1"/>
          <w:lang w:val="es-ES"/>
        </w:rPr>
      </w:pPr>
      <w:r w:rsidRPr="00171D87">
        <w:rPr>
          <w:b/>
          <w:bCs/>
          <w:lang w:val="es-ES"/>
        </w:rPr>
        <w:lastRenderedPageBreak/>
        <w:t>Teniendo presente</w:t>
      </w:r>
      <w:r w:rsidRPr="00171D87">
        <w:rPr>
          <w:lang w:val="es-ES"/>
        </w:rPr>
        <w:t xml:space="preserve"> que, en su Sexto Informe de Evaluación, el Grupo Intergubernamental de Expertos sobre el Cambio Climático (IPCC) afirma con un nivel de confianza muy alto que los peligros climáticos están contribuyendo cada vez más a un número creciente de efectos adversos en la salud, y en particular a las enfermedades transmisibles y no transmisibles, en múltiples áreas geográficas,</w:t>
      </w:r>
    </w:p>
    <w:p w14:paraId="28B0EE18" w14:textId="067B7FC9" w:rsidR="006A2BCB" w:rsidRPr="00171D87" w:rsidRDefault="006A2BCB" w:rsidP="00237D44">
      <w:pPr>
        <w:pStyle w:val="WMOBodyText"/>
        <w:spacing w:after="240"/>
        <w:rPr>
          <w:lang w:val="es-ES"/>
        </w:rPr>
      </w:pPr>
      <w:r w:rsidRPr="00171D87">
        <w:rPr>
          <w:b/>
          <w:bCs/>
          <w:lang w:val="es-ES"/>
        </w:rPr>
        <w:t>Reconociendo</w:t>
      </w:r>
      <w:r w:rsidRPr="00171D87">
        <w:rPr>
          <w:lang w:val="es-ES"/>
        </w:rPr>
        <w:t xml:space="preserve"> que el clima, el tiempo, la contaminación atmosférica, la radiación ultravioleta, los fenómenos extremos y otros factores medioambientales entrañan consecuencias interconectadas, en cascada y com</w:t>
      </w:r>
      <w:r w:rsidR="005C6E5C" w:rsidRPr="00171D87">
        <w:rPr>
          <w:lang w:val="es-ES"/>
        </w:rPr>
        <w:t xml:space="preserve">binadas </w:t>
      </w:r>
      <w:r w:rsidRPr="00171D87">
        <w:rPr>
          <w:lang w:val="es-ES"/>
        </w:rPr>
        <w:t xml:space="preserve">para la salud humana, </w:t>
      </w:r>
      <w:r w:rsidR="005C6E5C" w:rsidRPr="00171D87">
        <w:rPr>
          <w:lang w:val="es-ES"/>
        </w:rPr>
        <w:t xml:space="preserve">y que ello obliga a adoptar </w:t>
      </w:r>
      <w:r w:rsidRPr="00171D87">
        <w:rPr>
          <w:lang w:val="es-ES"/>
        </w:rPr>
        <w:t xml:space="preserve">enfoques integrados </w:t>
      </w:r>
      <w:r w:rsidR="005C6E5C" w:rsidRPr="00171D87">
        <w:rPr>
          <w:lang w:val="es-ES"/>
        </w:rPr>
        <w:t xml:space="preserve">a escala </w:t>
      </w:r>
      <w:r w:rsidRPr="00171D87">
        <w:rPr>
          <w:lang w:val="es-ES"/>
        </w:rPr>
        <w:t>mundial, regional y nacional,</w:t>
      </w:r>
    </w:p>
    <w:p w14:paraId="204057CE" w14:textId="020B0A93" w:rsidR="00237D44" w:rsidRPr="00171D87" w:rsidRDefault="00237D44" w:rsidP="00237D44">
      <w:pPr>
        <w:pStyle w:val="WMOBodyText"/>
        <w:spacing w:after="240"/>
        <w:rPr>
          <w:b/>
          <w:bCs/>
          <w:lang w:val="es-ES"/>
        </w:rPr>
      </w:pPr>
      <w:r w:rsidRPr="00171D87">
        <w:rPr>
          <w:b/>
          <w:bCs/>
          <w:lang w:val="es-ES"/>
        </w:rPr>
        <w:t>Decide</w:t>
      </w:r>
      <w:r w:rsidRPr="00171D87">
        <w:rPr>
          <w:lang w:val="es-ES"/>
        </w:rPr>
        <w:t xml:space="preserve"> </w:t>
      </w:r>
      <w:r w:rsidR="005C6E5C" w:rsidRPr="00171D87">
        <w:rPr>
          <w:lang w:val="es-ES"/>
        </w:rPr>
        <w:t xml:space="preserve">hacer suyo el </w:t>
      </w:r>
      <w:r w:rsidR="005C6E5C" w:rsidRPr="00171D87">
        <w:t>Plan de Ejecución para Contribuir al Progreso de la Ciencia y los Servicios Integrados en el Ámbito del Clima y la Salud</w:t>
      </w:r>
      <w:r w:rsidR="005C6E5C" w:rsidRPr="00171D87">
        <w:rPr>
          <w:lang w:val="es-ES"/>
        </w:rPr>
        <w:t xml:space="preserve"> (2023-2033)</w:t>
      </w:r>
      <w:r w:rsidR="00310FA6" w:rsidRPr="00171D87">
        <w:rPr>
          <w:lang w:val="es-ES"/>
        </w:rPr>
        <w:t xml:space="preserve">, según se indica en los documentos </w:t>
      </w:r>
      <w:hyperlink r:id="rId23" w:history="1">
        <w:r w:rsidR="00310FA6" w:rsidRPr="00171D87">
          <w:rPr>
            <w:rStyle w:val="Hyperlink"/>
            <w:lang w:val="es-ES"/>
          </w:rPr>
          <w:t>SERCOM-2/INF. 5.10(3a)</w:t>
        </w:r>
      </w:hyperlink>
      <w:r w:rsidR="00310FA6" w:rsidRPr="00171D87">
        <w:rPr>
          <w:lang w:val="es-ES"/>
        </w:rPr>
        <w:t xml:space="preserve"> y </w:t>
      </w:r>
      <w:hyperlink r:id="rId24" w:history="1">
        <w:r w:rsidR="00310FA6" w:rsidRPr="00171D87">
          <w:rPr>
            <w:rStyle w:val="Hyperlink"/>
            <w:lang w:val="es-ES"/>
          </w:rPr>
          <w:t>SERCOM-2/INF 5.10(3b)</w:t>
        </w:r>
      </w:hyperlink>
      <w:r w:rsidR="005C6E5C" w:rsidRPr="00171D87">
        <w:rPr>
          <w:lang w:val="es-ES"/>
        </w:rPr>
        <w:t>;</w:t>
      </w:r>
    </w:p>
    <w:p w14:paraId="484C7C9F" w14:textId="5848E5BC" w:rsidR="005C6E5C" w:rsidRPr="00171D87" w:rsidRDefault="005C6E5C" w:rsidP="005C6E5C">
      <w:pPr>
        <w:pStyle w:val="WMOBodyText"/>
        <w:rPr>
          <w:b/>
          <w:bCs/>
          <w:lang w:val="es-ES"/>
        </w:rPr>
      </w:pPr>
      <w:r w:rsidRPr="00171D87">
        <w:rPr>
          <w:b/>
          <w:bCs/>
          <w:lang w:val="es-ES"/>
        </w:rPr>
        <w:t>Solicita</w:t>
      </w:r>
      <w:r w:rsidRPr="00171D87">
        <w:rPr>
          <w:lang w:val="es-ES"/>
        </w:rPr>
        <w:t>:</w:t>
      </w:r>
    </w:p>
    <w:p w14:paraId="3955AC44" w14:textId="5AA30D4B" w:rsidR="005C6E5C" w:rsidRPr="00171D87" w:rsidRDefault="005C6E5C" w:rsidP="005C6E5C">
      <w:pPr>
        <w:pStyle w:val="WMOBodyText"/>
        <w:ind w:left="567" w:hanging="567"/>
        <w:rPr>
          <w:lang w:val="es-ES"/>
        </w:rPr>
      </w:pPr>
      <w:r w:rsidRPr="00171D87">
        <w:rPr>
          <w:lang w:val="es-ES"/>
        </w:rPr>
        <w:t>1)</w:t>
      </w:r>
      <w:r w:rsidRPr="00171D87">
        <w:rPr>
          <w:lang w:val="es-ES"/>
        </w:rPr>
        <w:tab/>
        <w:t xml:space="preserve">a la Comisión de Aplicaciones y Servicios Meteorológicos, Climáticos, Hidrológicos y Medioambientales Conexos (SERCOM) que, en su tercera reunión </w:t>
      </w:r>
      <w:r w:rsidR="00CD5EE0" w:rsidRPr="00171D87">
        <w:rPr>
          <w:lang w:val="es-ES"/>
        </w:rPr>
        <w:t xml:space="preserve">prevista para </w:t>
      </w:r>
      <w:r w:rsidRPr="00171D87">
        <w:rPr>
          <w:lang w:val="es-ES"/>
        </w:rPr>
        <w:t xml:space="preserve">2024, determine </w:t>
      </w:r>
      <w:r w:rsidR="00CD5EE0" w:rsidRPr="00171D87">
        <w:rPr>
          <w:lang w:val="es-ES"/>
        </w:rPr>
        <w:t>cuál es</w:t>
      </w:r>
      <w:r w:rsidRPr="00171D87">
        <w:rPr>
          <w:lang w:val="es-ES"/>
        </w:rPr>
        <w:t xml:space="preserve"> el órgano adecuado para coordinar las labores en la esfera de los servicios de salud integrados (2023-2033) y prestar </w:t>
      </w:r>
      <w:r w:rsidR="00CD5EE0" w:rsidRPr="00171D87">
        <w:rPr>
          <w:lang w:val="es-ES"/>
        </w:rPr>
        <w:t xml:space="preserve">el </w:t>
      </w:r>
      <w:r w:rsidRPr="00171D87">
        <w:rPr>
          <w:lang w:val="es-ES"/>
        </w:rPr>
        <w:t xml:space="preserve">apoyo técnico </w:t>
      </w:r>
      <w:r w:rsidR="00CD5EE0" w:rsidRPr="00171D87">
        <w:rPr>
          <w:lang w:val="es-ES"/>
        </w:rPr>
        <w:t>correspondiente y le asigne esas atribuciones</w:t>
      </w:r>
      <w:r w:rsidRPr="00171D87">
        <w:rPr>
          <w:lang w:val="es-ES"/>
        </w:rPr>
        <w:t>;</w:t>
      </w:r>
    </w:p>
    <w:p w14:paraId="26BE71A4" w14:textId="1D13F412" w:rsidR="005C6E5C" w:rsidRPr="00171D87" w:rsidRDefault="005C6E5C" w:rsidP="005C6E5C">
      <w:pPr>
        <w:pStyle w:val="WMOBodyText"/>
        <w:ind w:left="567" w:hanging="567"/>
        <w:rPr>
          <w:lang w:val="es-ES"/>
        </w:rPr>
      </w:pPr>
      <w:r w:rsidRPr="00171D87">
        <w:rPr>
          <w:lang w:val="es-ES"/>
        </w:rPr>
        <w:t>2)</w:t>
      </w:r>
      <w:r w:rsidRPr="00171D87">
        <w:rPr>
          <w:lang w:val="es-ES"/>
        </w:rPr>
        <w:tab/>
        <w:t>al Secretario General que proporcione el apoyo necesario para mantener o establecer los mecanismos señalados como necesarios para la aplicación del plan;</w:t>
      </w:r>
    </w:p>
    <w:p w14:paraId="731A583F" w14:textId="21870838" w:rsidR="005C6E5C" w:rsidRPr="00171D87" w:rsidRDefault="005C6E5C" w:rsidP="005C6E5C">
      <w:pPr>
        <w:pStyle w:val="WMOBodyText"/>
        <w:rPr>
          <w:b/>
          <w:bCs/>
          <w:lang w:val="es-ES"/>
        </w:rPr>
      </w:pPr>
      <w:r w:rsidRPr="00171D87">
        <w:rPr>
          <w:b/>
          <w:bCs/>
          <w:lang w:val="es-ES"/>
        </w:rPr>
        <w:t>Invita</w:t>
      </w:r>
      <w:r w:rsidRPr="00171D87">
        <w:rPr>
          <w:lang w:val="es-ES"/>
        </w:rPr>
        <w:t>:</w:t>
      </w:r>
    </w:p>
    <w:p w14:paraId="54B86784" w14:textId="6730F0C1" w:rsidR="005C6E5C" w:rsidRPr="00171D87" w:rsidRDefault="005C6E5C" w:rsidP="005C6E5C">
      <w:pPr>
        <w:pStyle w:val="WMOBodyText"/>
        <w:ind w:left="567" w:hanging="567"/>
        <w:rPr>
          <w:lang w:val="es-ES"/>
        </w:rPr>
      </w:pPr>
      <w:r w:rsidRPr="00171D87">
        <w:rPr>
          <w:lang w:val="es-ES"/>
        </w:rPr>
        <w:t>1)</w:t>
      </w:r>
      <w:r w:rsidRPr="00171D87">
        <w:rPr>
          <w:lang w:val="es-ES"/>
        </w:rPr>
        <w:tab/>
        <w:t xml:space="preserve">a los Miembros a que apoyen la aplicación de los mecanismos y las medidas propuestos; a que faciliten la colaboración de sus Servicios Meteorológicos e Hidrológicos Nacionales (SMHN) y de otros actores pertinentes con la comunidad del ámbito de la salud a </w:t>
      </w:r>
      <w:r w:rsidR="00CD5EE0" w:rsidRPr="00171D87">
        <w:rPr>
          <w:lang w:val="es-ES"/>
        </w:rPr>
        <w:t>fin de</w:t>
      </w:r>
      <w:r w:rsidRPr="00171D87">
        <w:rPr>
          <w:lang w:val="es-ES"/>
        </w:rPr>
        <w:t xml:space="preserve"> mejorar la ciencia y los servicios integrados en las esferas del clima, el medioambiente y la salud; y a que designen expertos en salud para su integración en la Red de Expertos de la OMM;</w:t>
      </w:r>
    </w:p>
    <w:p w14:paraId="41680BE5" w14:textId="0927A45C" w:rsidR="005C6E5C" w:rsidRPr="00171D87" w:rsidRDefault="005C6E5C" w:rsidP="005C6E5C">
      <w:pPr>
        <w:pStyle w:val="WMOBodyText"/>
        <w:ind w:left="567" w:hanging="567"/>
        <w:rPr>
          <w:lang w:val="es-ES"/>
        </w:rPr>
      </w:pPr>
      <w:r w:rsidRPr="00171D87">
        <w:rPr>
          <w:lang w:val="es-ES"/>
        </w:rPr>
        <w:t>2)</w:t>
      </w:r>
      <w:r w:rsidRPr="00171D87">
        <w:rPr>
          <w:lang w:val="es-ES"/>
        </w:rPr>
        <w:tab/>
        <w:t>a la OMS, los Miembros y los asociados para el desarrollo a que consideren la posibilidad de financiar dichos arreglos;</w:t>
      </w:r>
    </w:p>
    <w:p w14:paraId="4F9D1AF8" w14:textId="01DD5CA9" w:rsidR="005C6E5C" w:rsidRPr="00171D87" w:rsidRDefault="005C6E5C" w:rsidP="005C6E5C">
      <w:pPr>
        <w:pStyle w:val="WMOBodyText"/>
        <w:ind w:left="567" w:hanging="567"/>
        <w:rPr>
          <w:lang w:val="es-ES"/>
        </w:rPr>
      </w:pPr>
      <w:r w:rsidRPr="00171D87">
        <w:rPr>
          <w:lang w:val="es-ES"/>
        </w:rPr>
        <w:t xml:space="preserve">3) </w:t>
      </w:r>
      <w:r w:rsidRPr="00171D87">
        <w:rPr>
          <w:lang w:val="es-ES"/>
        </w:rPr>
        <w:tab/>
        <w:t xml:space="preserve">a la OMS a </w:t>
      </w:r>
      <w:r w:rsidR="005A2EFA" w:rsidRPr="00171D87">
        <w:rPr>
          <w:lang w:val="es-ES"/>
        </w:rPr>
        <w:t xml:space="preserve">que designe expertos para su integración en la Red de Expertos de la OMM </w:t>
      </w:r>
      <w:r w:rsidRPr="00171D87">
        <w:rPr>
          <w:lang w:val="es-ES"/>
        </w:rPr>
        <w:t xml:space="preserve">para apoyar los mecanismos y </w:t>
      </w:r>
      <w:r w:rsidR="005A2EFA" w:rsidRPr="00171D87">
        <w:rPr>
          <w:lang w:val="es-ES"/>
        </w:rPr>
        <w:t xml:space="preserve">las </w:t>
      </w:r>
      <w:r w:rsidRPr="00171D87">
        <w:rPr>
          <w:lang w:val="es-ES"/>
        </w:rPr>
        <w:t xml:space="preserve">estructuras </w:t>
      </w:r>
      <w:r w:rsidR="005A2EFA" w:rsidRPr="00171D87">
        <w:rPr>
          <w:lang w:val="es-ES"/>
        </w:rPr>
        <w:t>propuestos que establezca</w:t>
      </w:r>
      <w:r w:rsidRPr="00171D87">
        <w:rPr>
          <w:lang w:val="es-ES"/>
        </w:rPr>
        <w:t xml:space="preserve"> la </w:t>
      </w:r>
      <w:r w:rsidR="005A2EFA" w:rsidRPr="00171D87">
        <w:rPr>
          <w:lang w:val="es-ES"/>
        </w:rPr>
        <w:t>SERCOM</w:t>
      </w:r>
      <w:r w:rsidRPr="00171D87">
        <w:rPr>
          <w:lang w:val="es-ES"/>
        </w:rPr>
        <w:t>.</w:t>
      </w:r>
    </w:p>
    <w:p w14:paraId="2F2CB2A8" w14:textId="221AF92B" w:rsidR="00864DBF" w:rsidRPr="00171D87" w:rsidRDefault="00514EAC" w:rsidP="00EB1E83">
      <w:pPr>
        <w:pStyle w:val="WMOBodyText"/>
        <w:jc w:val="center"/>
      </w:pPr>
      <w:r w:rsidRPr="00171D87">
        <w:t>______________</w:t>
      </w:r>
    </w:p>
    <w:p w14:paraId="2DD1B940" w14:textId="3D42CDD9" w:rsidR="009954AC" w:rsidRPr="00171D87" w:rsidRDefault="009954AC" w:rsidP="009954AC">
      <w:pPr>
        <w:pStyle w:val="WMOBodyText"/>
        <w:rPr>
          <w:lang w:val="es-ES"/>
        </w:rPr>
      </w:pPr>
      <w:r w:rsidRPr="00171D87">
        <w:rPr>
          <w:lang w:val="es-ES"/>
        </w:rPr>
        <w:br w:type="page"/>
      </w:r>
    </w:p>
    <w:p w14:paraId="0B8DA70E" w14:textId="554F4720" w:rsidR="005A2EFA" w:rsidRPr="00171D87" w:rsidRDefault="005A2EFA" w:rsidP="005A2EFA">
      <w:pPr>
        <w:pStyle w:val="WMOBodyText"/>
        <w:jc w:val="center"/>
        <w:rPr>
          <w:b/>
          <w:bCs/>
          <w:sz w:val="22"/>
          <w:szCs w:val="22"/>
          <w:lang w:val="es-ES"/>
        </w:rPr>
      </w:pPr>
      <w:bookmarkStart w:id="9" w:name="AnexoResolucion"/>
      <w:r w:rsidRPr="00171D87">
        <w:rPr>
          <w:b/>
          <w:bCs/>
          <w:lang w:val="es-ES"/>
        </w:rPr>
        <w:lastRenderedPageBreak/>
        <w:t xml:space="preserve">Anexo al proyecto de Resolución </w:t>
      </w:r>
      <w:r w:rsidR="000A272A" w:rsidRPr="00171D87">
        <w:rPr>
          <w:b/>
          <w:bCs/>
          <w:lang w:val="es-ES"/>
        </w:rPr>
        <w:t>3.1(15)</w:t>
      </w:r>
      <w:r w:rsidRPr="00171D87">
        <w:rPr>
          <w:b/>
          <w:bCs/>
          <w:lang w:val="es-ES"/>
        </w:rPr>
        <w:t>/1 (EC-76)</w:t>
      </w:r>
      <w:bookmarkStart w:id="10" w:name="AnnextodraftreS"/>
      <w:bookmarkEnd w:id="9"/>
    </w:p>
    <w:bookmarkEnd w:id="10"/>
    <w:p w14:paraId="139D44A4" w14:textId="352540DB" w:rsidR="005A2EFA" w:rsidRPr="00171D87" w:rsidRDefault="005A2EFA" w:rsidP="005A2EFA">
      <w:pPr>
        <w:pStyle w:val="WMOBodyText"/>
        <w:jc w:val="center"/>
        <w:rPr>
          <w:b/>
          <w:bCs/>
          <w:lang w:val="es-ES"/>
        </w:rPr>
      </w:pPr>
      <w:r w:rsidRPr="00171D87">
        <w:rPr>
          <w:b/>
          <w:bCs/>
          <w:lang w:val="es-ES"/>
        </w:rPr>
        <w:t xml:space="preserve">Sinopsis del </w:t>
      </w:r>
      <w:r w:rsidR="009954AC" w:rsidRPr="00171D87">
        <w:rPr>
          <w:b/>
          <w:bCs/>
          <w:lang w:val="es-ES"/>
        </w:rPr>
        <w:t xml:space="preserve">Plan de Ejecución para Contribuir al Progreso de la Ciencia </w:t>
      </w:r>
      <w:r w:rsidR="009954AC" w:rsidRPr="00171D87">
        <w:rPr>
          <w:b/>
          <w:bCs/>
          <w:lang w:val="es-ES"/>
        </w:rPr>
        <w:br/>
        <w:t>y los Servicios Integrados en el Ámbito del Clima y la Salud (2023-2033)</w:t>
      </w:r>
    </w:p>
    <w:p w14:paraId="135F071F" w14:textId="506F3723" w:rsidR="005A2EFA" w:rsidRPr="00171D87" w:rsidRDefault="00AE7EB8" w:rsidP="00AE7EB8">
      <w:pPr>
        <w:pStyle w:val="WMOBodyText"/>
        <w:tabs>
          <w:tab w:val="left" w:pos="567"/>
        </w:tabs>
        <w:ind w:hanging="11"/>
        <w:rPr>
          <w:lang w:val="es-ES"/>
        </w:rPr>
      </w:pPr>
      <w:r w:rsidRPr="00171D87">
        <w:rPr>
          <w:lang w:val="es-ES"/>
        </w:rPr>
        <w:t>1.</w:t>
      </w:r>
      <w:r w:rsidRPr="00171D87">
        <w:rPr>
          <w:lang w:val="es-ES"/>
        </w:rPr>
        <w:tab/>
      </w:r>
      <w:r w:rsidR="005A2EFA" w:rsidRPr="00171D87">
        <w:rPr>
          <w:lang w:val="es-ES"/>
        </w:rPr>
        <w:t>E</w:t>
      </w:r>
      <w:r w:rsidR="00DF5F55" w:rsidRPr="00171D87">
        <w:rPr>
          <w:lang w:val="es-ES"/>
        </w:rPr>
        <w:t>n e</w:t>
      </w:r>
      <w:r w:rsidR="005A2EFA" w:rsidRPr="00171D87">
        <w:rPr>
          <w:lang w:val="es-ES"/>
        </w:rPr>
        <w:t xml:space="preserve">l </w:t>
      </w:r>
      <w:r w:rsidR="00427440" w:rsidRPr="00171D87">
        <w:rPr>
          <w:lang w:val="es-ES"/>
        </w:rPr>
        <w:t xml:space="preserve">Plan de Ejecución para Contribuir al Progreso de la Ciencia y los Servicios Integrados en el Ámbito del Clima y la Salud </w:t>
      </w:r>
      <w:r w:rsidR="005A2EFA" w:rsidRPr="00171D87">
        <w:rPr>
          <w:lang w:val="es-ES"/>
        </w:rPr>
        <w:t>(</w:t>
      </w:r>
      <w:r w:rsidR="00427440" w:rsidRPr="00171D87">
        <w:rPr>
          <w:lang w:val="es-ES"/>
        </w:rPr>
        <w:t xml:space="preserve">véase el documento </w:t>
      </w:r>
      <w:hyperlink r:id="rId25" w:history="1">
        <w:r w:rsidR="00427F61" w:rsidRPr="00171D87">
          <w:rPr>
            <w:rStyle w:val="Hyperlink"/>
            <w:lang w:val="es-ES"/>
          </w:rPr>
          <w:t>SERCOM-2/INF. 5.10(3a)</w:t>
        </w:r>
      </w:hyperlink>
      <w:r w:rsidR="005A2EFA" w:rsidRPr="00171D87">
        <w:rPr>
          <w:lang w:val="es-ES"/>
        </w:rPr>
        <w:t xml:space="preserve">) </w:t>
      </w:r>
      <w:r w:rsidR="00DF5F55" w:rsidRPr="00171D87">
        <w:rPr>
          <w:lang w:val="es-ES"/>
        </w:rPr>
        <w:t xml:space="preserve">se </w:t>
      </w:r>
      <w:r w:rsidR="005A2EFA" w:rsidRPr="00171D87">
        <w:rPr>
          <w:lang w:val="es-ES"/>
        </w:rPr>
        <w:t>describe</w:t>
      </w:r>
      <w:r w:rsidR="00DF5F55" w:rsidRPr="00171D87">
        <w:rPr>
          <w:lang w:val="es-ES"/>
        </w:rPr>
        <w:t>n</w:t>
      </w:r>
      <w:r w:rsidR="005A2EFA" w:rsidRPr="00171D87">
        <w:rPr>
          <w:lang w:val="es-ES"/>
        </w:rPr>
        <w:t xml:space="preserve"> planteamientos innovadores, mecanismos </w:t>
      </w:r>
      <w:r w:rsidR="00F25944" w:rsidRPr="00171D87">
        <w:rPr>
          <w:lang w:val="es-ES"/>
        </w:rPr>
        <w:t xml:space="preserve">duraderos </w:t>
      </w:r>
      <w:r w:rsidR="005A2EFA" w:rsidRPr="00171D87">
        <w:rPr>
          <w:lang w:val="es-ES"/>
        </w:rPr>
        <w:t xml:space="preserve">y oportunidades de </w:t>
      </w:r>
      <w:r w:rsidR="00DF77A9" w:rsidRPr="00171D87">
        <w:rPr>
          <w:lang w:val="es-ES"/>
        </w:rPr>
        <w:t xml:space="preserve">colaboración </w:t>
      </w:r>
      <w:r w:rsidR="005A2EFA" w:rsidRPr="00171D87">
        <w:rPr>
          <w:lang w:val="es-ES"/>
        </w:rPr>
        <w:t xml:space="preserve">para ofrecer </w:t>
      </w:r>
      <w:r w:rsidR="00073920" w:rsidRPr="00171D87">
        <w:rPr>
          <w:lang w:val="es-ES"/>
        </w:rPr>
        <w:t>conocimientos y servicios climatol</w:t>
      </w:r>
      <w:r w:rsidR="00BA2FC4" w:rsidRPr="00171D87">
        <w:rPr>
          <w:lang w:val="es-ES"/>
        </w:rPr>
        <w:t xml:space="preserve">ógicos impulsados por la demanda </w:t>
      </w:r>
      <w:r w:rsidR="00717232" w:rsidRPr="00171D87">
        <w:rPr>
          <w:lang w:val="es-ES"/>
        </w:rPr>
        <w:t xml:space="preserve">que contribuyan a </w:t>
      </w:r>
      <w:r w:rsidR="005A2EFA" w:rsidRPr="00171D87">
        <w:rPr>
          <w:lang w:val="es-ES"/>
        </w:rPr>
        <w:t xml:space="preserve">la protección de la salud. Este plan materializa los objetivos del Marco de Colaboración en materia de Clima, Medioambiente y Salud suscrito entre la </w:t>
      </w:r>
      <w:r w:rsidR="00642DEE" w:rsidRPr="00171D87">
        <w:rPr>
          <w:lang w:val="es-ES"/>
        </w:rPr>
        <w:t xml:space="preserve">Organización Meteorológica Mundial (OMM) </w:t>
      </w:r>
      <w:r w:rsidR="005A2EFA" w:rsidRPr="00171D87">
        <w:rPr>
          <w:lang w:val="es-ES"/>
        </w:rPr>
        <w:t xml:space="preserve">y la </w:t>
      </w:r>
      <w:r w:rsidR="00642DEE" w:rsidRPr="00171D87">
        <w:rPr>
          <w:lang w:val="es-ES"/>
        </w:rPr>
        <w:t>Organización Mundial de la Salud (</w:t>
      </w:r>
      <w:r w:rsidR="005A2EFA" w:rsidRPr="00171D87">
        <w:rPr>
          <w:lang w:val="es-ES"/>
        </w:rPr>
        <w:t>OMS</w:t>
      </w:r>
      <w:r w:rsidR="00642DEE" w:rsidRPr="00171D87">
        <w:rPr>
          <w:lang w:val="es-ES"/>
        </w:rPr>
        <w:t>)</w:t>
      </w:r>
      <w:r w:rsidR="005A2EFA" w:rsidRPr="00171D87">
        <w:rPr>
          <w:lang w:val="es-ES"/>
        </w:rPr>
        <w:t xml:space="preserve"> en 2018, la </w:t>
      </w:r>
      <w:hyperlink r:id="rId26" w:anchor="page=131" w:history="1">
        <w:r w:rsidR="00642DEE" w:rsidRPr="00171D87">
          <w:rPr>
            <w:rStyle w:val="Hyperlink"/>
            <w:lang w:val="es-ES"/>
          </w:rPr>
          <w:t>Resolución 33 (Cg-18)</w:t>
        </w:r>
      </w:hyperlink>
      <w:r w:rsidR="005A2EFA" w:rsidRPr="00171D87">
        <w:rPr>
          <w:lang w:val="es-ES"/>
        </w:rPr>
        <w:t xml:space="preserve"> </w:t>
      </w:r>
      <w:r w:rsidR="00642DEE" w:rsidRPr="00171D87">
        <w:rPr>
          <w:lang w:val="es-ES"/>
        </w:rPr>
        <w:t>—</w:t>
      </w:r>
      <w:r w:rsidR="005A2EFA" w:rsidRPr="00171D87">
        <w:rPr>
          <w:lang w:val="es-ES"/>
        </w:rPr>
        <w:t xml:space="preserve"> Fomento de los servicios de salud integrados, y el Plan Rector</w:t>
      </w:r>
      <w:r w:rsidR="00427F61" w:rsidRPr="00171D87">
        <w:rPr>
          <w:lang w:val="es-ES"/>
        </w:rPr>
        <w:t xml:space="preserve"> de la OMS y la OMM</w:t>
      </w:r>
      <w:r w:rsidR="005A2EFA" w:rsidRPr="00171D87">
        <w:rPr>
          <w:lang w:val="es-ES"/>
        </w:rPr>
        <w:t xml:space="preserve"> en el Ámbito de la Salud, el Medioambiente y el Clima basado en un Enfoque de la Ciencia a los Servicios</w:t>
      </w:r>
      <w:r w:rsidR="00DB3AA0" w:rsidRPr="00171D87">
        <w:rPr>
          <w:lang w:val="es-ES"/>
        </w:rPr>
        <w:t xml:space="preserve"> (2019-2023)</w:t>
      </w:r>
      <w:r w:rsidR="005A2EFA" w:rsidRPr="00171D87">
        <w:rPr>
          <w:lang w:val="es-ES"/>
        </w:rPr>
        <w:t>.</w:t>
      </w:r>
    </w:p>
    <w:p w14:paraId="3FA0E4F0" w14:textId="08EEF914" w:rsidR="005A2EFA" w:rsidRPr="00171D87" w:rsidRDefault="00AE7EB8" w:rsidP="00AE7EB8">
      <w:pPr>
        <w:pStyle w:val="WMOBodyText"/>
        <w:tabs>
          <w:tab w:val="left" w:pos="567"/>
        </w:tabs>
        <w:ind w:hanging="11"/>
        <w:rPr>
          <w:lang w:val="es-ES"/>
        </w:rPr>
      </w:pPr>
      <w:r w:rsidRPr="00171D87">
        <w:rPr>
          <w:lang w:val="es-ES"/>
        </w:rPr>
        <w:t>2.</w:t>
      </w:r>
      <w:r w:rsidRPr="00171D87">
        <w:rPr>
          <w:lang w:val="es-ES"/>
        </w:rPr>
        <w:tab/>
      </w:r>
      <w:r w:rsidR="006D5C75" w:rsidRPr="00171D87">
        <w:rPr>
          <w:noProof/>
          <w:lang w:val="es-ES"/>
        </w:rPr>
        <w:drawing>
          <wp:anchor distT="0" distB="0" distL="114300" distR="114300" simplePos="0" relativeHeight="251659264" behindDoc="0" locked="0" layoutInCell="1" allowOverlap="1" wp14:anchorId="76F60990" wp14:editId="040B4FC2">
            <wp:simplePos x="0" y="0"/>
            <wp:positionH relativeFrom="column">
              <wp:posOffset>53340</wp:posOffset>
            </wp:positionH>
            <wp:positionV relativeFrom="paragraph">
              <wp:posOffset>1071880</wp:posOffset>
            </wp:positionV>
            <wp:extent cx="6120765" cy="4185920"/>
            <wp:effectExtent l="0" t="0" r="0" b="5080"/>
            <wp:wrapSquare wrapText="bothSides"/>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27"/>
                    <a:stretch>
                      <a:fillRect/>
                    </a:stretch>
                  </pic:blipFill>
                  <pic:spPr>
                    <a:xfrm>
                      <a:off x="0" y="0"/>
                      <a:ext cx="6120765" cy="4185920"/>
                    </a:xfrm>
                    <a:prstGeom prst="rect">
                      <a:avLst/>
                    </a:prstGeom>
                  </pic:spPr>
                </pic:pic>
              </a:graphicData>
            </a:graphic>
            <wp14:sizeRelH relativeFrom="page">
              <wp14:pctWidth>0</wp14:pctWidth>
            </wp14:sizeRelH>
            <wp14:sizeRelV relativeFrom="page">
              <wp14:pctHeight>0</wp14:pctHeight>
            </wp14:sizeRelV>
          </wp:anchor>
        </w:drawing>
      </w:r>
      <w:bookmarkStart w:id="11" w:name="_Hlk126313847"/>
      <w:r w:rsidR="00CD5EE0" w:rsidRPr="00171D87">
        <w:rPr>
          <w:lang w:val="es-ES"/>
        </w:rPr>
        <w:t>P</w:t>
      </w:r>
      <w:r w:rsidR="005A2EFA" w:rsidRPr="00171D87">
        <w:rPr>
          <w:lang w:val="es-ES"/>
        </w:rPr>
        <w:t xml:space="preserve">ara </w:t>
      </w:r>
      <w:r w:rsidR="00BC0284" w:rsidRPr="00171D87">
        <w:rPr>
          <w:lang w:val="es-ES"/>
        </w:rPr>
        <w:t xml:space="preserve">mejorar </w:t>
      </w:r>
      <w:r w:rsidR="00FB20D1" w:rsidRPr="00171D87">
        <w:rPr>
          <w:lang w:val="es-ES"/>
        </w:rPr>
        <w:t>l</w:t>
      </w:r>
      <w:r w:rsidR="005A2EFA" w:rsidRPr="00171D87">
        <w:rPr>
          <w:lang w:val="es-ES"/>
        </w:rPr>
        <w:t xml:space="preserve">a salud y </w:t>
      </w:r>
      <w:r w:rsidR="00FB20D1" w:rsidRPr="00171D87">
        <w:rPr>
          <w:lang w:val="es-ES"/>
        </w:rPr>
        <w:t xml:space="preserve">el </w:t>
      </w:r>
      <w:r w:rsidR="005A2EFA" w:rsidRPr="00171D87">
        <w:rPr>
          <w:lang w:val="es-ES"/>
        </w:rPr>
        <w:t xml:space="preserve">bienestar </w:t>
      </w:r>
      <w:r w:rsidR="00FB20D1" w:rsidRPr="00171D87">
        <w:rPr>
          <w:lang w:val="es-ES"/>
        </w:rPr>
        <w:t xml:space="preserve">de </w:t>
      </w:r>
      <w:r w:rsidR="005A2EFA" w:rsidRPr="00171D87">
        <w:rPr>
          <w:lang w:val="es-ES"/>
        </w:rPr>
        <w:t>las personas que se enfrentan a los fenómenos meteorológicos extremos</w:t>
      </w:r>
      <w:r w:rsidR="00305E85" w:rsidRPr="00171D87">
        <w:rPr>
          <w:lang w:val="es-ES"/>
        </w:rPr>
        <w:t xml:space="preserve">, tanto actuales como nuevos, </w:t>
      </w:r>
      <w:r w:rsidR="005A2EFA" w:rsidRPr="00171D87">
        <w:rPr>
          <w:lang w:val="es-ES"/>
        </w:rPr>
        <w:t xml:space="preserve">al cambio climático y a los riesgos </w:t>
      </w:r>
      <w:r w:rsidR="00D5455B" w:rsidRPr="00171D87">
        <w:rPr>
          <w:lang w:val="es-ES"/>
        </w:rPr>
        <w:t>medio</w:t>
      </w:r>
      <w:r w:rsidR="005A2EFA" w:rsidRPr="00171D87">
        <w:rPr>
          <w:lang w:val="es-ES"/>
        </w:rPr>
        <w:t xml:space="preserve">ambientales mediante la integración efectiva de la </w:t>
      </w:r>
      <w:r w:rsidR="00D5455B" w:rsidRPr="00171D87">
        <w:rPr>
          <w:lang w:val="es-ES"/>
        </w:rPr>
        <w:t xml:space="preserve">ciencia y los servicios en los ámbitos del </w:t>
      </w:r>
      <w:r w:rsidR="005A2EFA" w:rsidRPr="00171D87">
        <w:rPr>
          <w:lang w:val="es-ES"/>
        </w:rPr>
        <w:t>clima, el medioambiente</w:t>
      </w:r>
      <w:r w:rsidR="007E1B40" w:rsidRPr="00171D87">
        <w:rPr>
          <w:lang w:val="es-ES"/>
        </w:rPr>
        <w:t xml:space="preserve"> y</w:t>
      </w:r>
      <w:r w:rsidR="005A2EFA" w:rsidRPr="00171D87">
        <w:rPr>
          <w:lang w:val="es-ES"/>
        </w:rPr>
        <w:t xml:space="preserve"> la salud en todo el mundo</w:t>
      </w:r>
      <w:r w:rsidR="00CD5EE0" w:rsidRPr="00171D87">
        <w:rPr>
          <w:lang w:val="es-ES"/>
        </w:rPr>
        <w:t xml:space="preserve"> es fundamental que la OMM y la OMS lideren y apliquen conjuntamente los mecanismos y las medidas propuestos</w:t>
      </w:r>
      <w:bookmarkEnd w:id="11"/>
      <w:r w:rsidR="005A2EFA" w:rsidRPr="00171D87">
        <w:rPr>
          <w:lang w:val="es-ES"/>
        </w:rPr>
        <w:t>.</w:t>
      </w:r>
    </w:p>
    <w:p w14:paraId="52D631C8" w14:textId="77777777" w:rsidR="00CC26EA" w:rsidRPr="00171D87" w:rsidRDefault="00CC26EA" w:rsidP="00AE7EB8">
      <w:pPr>
        <w:pStyle w:val="WMOBodyText"/>
        <w:tabs>
          <w:tab w:val="left" w:pos="567"/>
        </w:tabs>
        <w:ind w:hanging="11"/>
        <w:rPr>
          <w:lang w:val="es-ES"/>
        </w:rPr>
      </w:pPr>
    </w:p>
    <w:p w14:paraId="124F0CF5" w14:textId="77777777" w:rsidR="006D5C75" w:rsidRPr="00171D87" w:rsidRDefault="006D5C75" w:rsidP="00926A33">
      <w:pPr>
        <w:pStyle w:val="WMOBodyText"/>
        <w:tabs>
          <w:tab w:val="left" w:pos="567"/>
        </w:tabs>
        <w:jc w:val="center"/>
        <w:rPr>
          <w:lang w:val="es-ES"/>
        </w:rPr>
      </w:pPr>
      <w:r w:rsidRPr="00171D87">
        <w:rPr>
          <w:b/>
          <w:bCs/>
          <w:lang w:val="es-ES"/>
        </w:rPr>
        <w:t>Figura 1.</w:t>
      </w:r>
      <w:r w:rsidRPr="00171D87">
        <w:rPr>
          <w:lang w:val="es-ES"/>
        </w:rPr>
        <w:t xml:space="preserve"> </w:t>
      </w:r>
      <w:r w:rsidRPr="00171D87">
        <w:rPr>
          <w:b/>
          <w:bCs/>
          <w:lang w:val="es-ES"/>
        </w:rPr>
        <w:t>Vertientes del Plan de Ejecución: cuatro esferas temáticas que entrañan grandes desafíos, en las que se proponen iniciativas que abordan necesidades en ámbitos que van desde los fenómenos meteorológicos extremos hasta las escalas temporales climáticas (izquierda),</w:t>
      </w:r>
      <w:r w:rsidRPr="00171D87">
        <w:rPr>
          <w:lang w:val="es-ES"/>
        </w:rPr>
        <w:t xml:space="preserve"> </w:t>
      </w:r>
      <w:r w:rsidRPr="00171D87">
        <w:rPr>
          <w:b/>
          <w:bCs/>
          <w:lang w:val="es-ES"/>
        </w:rPr>
        <w:t xml:space="preserve">seis esferas fundamentales de apoyo (derecha) y </w:t>
      </w:r>
      <w:r w:rsidRPr="00171D87">
        <w:rPr>
          <w:b/>
          <w:bCs/>
          <w:lang w:val="es-ES"/>
        </w:rPr>
        <w:lastRenderedPageBreak/>
        <w:t>planes y medidas que se desarrollarán en diversas escalas espaciales según las necesidades y las prioridades (centro).</w:t>
      </w:r>
    </w:p>
    <w:p w14:paraId="1A7B9944" w14:textId="1F8599A3" w:rsidR="005A2EFA" w:rsidRPr="00171D87" w:rsidRDefault="00AE7EB8" w:rsidP="00AE7EB8">
      <w:pPr>
        <w:pStyle w:val="WMOBodyText"/>
        <w:tabs>
          <w:tab w:val="left" w:pos="567"/>
        </w:tabs>
        <w:ind w:hanging="11"/>
        <w:rPr>
          <w:lang w:val="es-ES"/>
        </w:rPr>
      </w:pPr>
      <w:r w:rsidRPr="00171D87">
        <w:rPr>
          <w:lang w:val="es-ES"/>
        </w:rPr>
        <w:t>3.</w:t>
      </w:r>
      <w:r w:rsidRPr="00171D87">
        <w:rPr>
          <w:lang w:val="es-ES"/>
        </w:rPr>
        <w:tab/>
      </w:r>
      <w:r w:rsidR="005A2EFA" w:rsidRPr="00171D87">
        <w:rPr>
          <w:lang w:val="es-ES"/>
        </w:rPr>
        <w:t xml:space="preserve">Este plan se acompaña, en el documento </w:t>
      </w:r>
      <w:hyperlink r:id="rId28" w:history="1">
        <w:r w:rsidR="002A147E" w:rsidRPr="00171D87">
          <w:rPr>
            <w:rStyle w:val="Hyperlink"/>
            <w:lang w:val="es-ES"/>
          </w:rPr>
          <w:t>SERCOM-2/INF 5.10(3b)</w:t>
        </w:r>
      </w:hyperlink>
      <w:r w:rsidR="005A2EFA" w:rsidRPr="00171D87">
        <w:rPr>
          <w:lang w:val="es-ES"/>
        </w:rPr>
        <w:t>, de un nuevo marco conceptual y un</w:t>
      </w:r>
      <w:r w:rsidR="003E0EE0" w:rsidRPr="00171D87">
        <w:rPr>
          <w:lang w:val="es-ES"/>
        </w:rPr>
        <w:t xml:space="preserve"> conjunto </w:t>
      </w:r>
      <w:r w:rsidR="005A2EFA" w:rsidRPr="00171D87">
        <w:rPr>
          <w:lang w:val="es-ES"/>
        </w:rPr>
        <w:t xml:space="preserve">de buenas prácticas destinados a impulsar un cambio transformador en el desarrollo conjunto y el uso de </w:t>
      </w:r>
      <w:r w:rsidR="00D3668C" w:rsidRPr="00171D87">
        <w:rPr>
          <w:lang w:val="es-ES"/>
        </w:rPr>
        <w:t>conocimientos científicos y servicios en el ámbito del clima</w:t>
      </w:r>
      <w:r w:rsidR="005A2EFA" w:rsidRPr="00171D87">
        <w:rPr>
          <w:lang w:val="es-ES"/>
        </w:rPr>
        <w:t>, el medioambiente</w:t>
      </w:r>
      <w:r w:rsidR="00D3668C" w:rsidRPr="00171D87">
        <w:rPr>
          <w:lang w:val="es-ES"/>
        </w:rPr>
        <w:t xml:space="preserve"> y</w:t>
      </w:r>
      <w:r w:rsidR="005A2EFA" w:rsidRPr="00171D87">
        <w:rPr>
          <w:lang w:val="es-ES"/>
        </w:rPr>
        <w:t xml:space="preserve"> la salud fiables y </w:t>
      </w:r>
      <w:r w:rsidR="00DE09BC" w:rsidRPr="00171D87">
        <w:rPr>
          <w:lang w:val="es-ES"/>
        </w:rPr>
        <w:t xml:space="preserve">adaptados a la </w:t>
      </w:r>
      <w:r w:rsidR="005A2EFA" w:rsidRPr="00171D87">
        <w:rPr>
          <w:lang w:val="es-ES"/>
        </w:rPr>
        <w:t xml:space="preserve">demanda. El plan se articula </w:t>
      </w:r>
      <w:r w:rsidR="00EC4415" w:rsidRPr="00171D87">
        <w:rPr>
          <w:lang w:val="es-ES"/>
        </w:rPr>
        <w:t xml:space="preserve">en </w:t>
      </w:r>
      <w:r w:rsidR="005A2EFA" w:rsidRPr="00171D87">
        <w:rPr>
          <w:lang w:val="es-ES"/>
        </w:rPr>
        <w:t xml:space="preserve">tres </w:t>
      </w:r>
      <w:r w:rsidR="0037592C" w:rsidRPr="00171D87">
        <w:rPr>
          <w:lang w:val="es-ES"/>
        </w:rPr>
        <w:t>vertientes</w:t>
      </w:r>
      <w:r w:rsidR="00772515" w:rsidRPr="00171D87">
        <w:rPr>
          <w:lang w:val="es-ES"/>
        </w:rPr>
        <w:t xml:space="preserve"> </w:t>
      </w:r>
      <w:r w:rsidR="005A2EFA" w:rsidRPr="00171D87">
        <w:rPr>
          <w:lang w:val="es-ES"/>
        </w:rPr>
        <w:t xml:space="preserve">y utiliza un enfoque basado en </w:t>
      </w:r>
      <w:r w:rsidR="00D54A5A" w:rsidRPr="00171D87">
        <w:rPr>
          <w:lang w:val="es-ES"/>
        </w:rPr>
        <w:t xml:space="preserve">nexos </w:t>
      </w:r>
      <w:r w:rsidR="00E6311A" w:rsidRPr="00171D87">
        <w:rPr>
          <w:lang w:val="es-ES"/>
        </w:rPr>
        <w:t xml:space="preserve">a </w:t>
      </w:r>
      <w:r w:rsidR="005A2EFA" w:rsidRPr="00171D87">
        <w:rPr>
          <w:lang w:val="es-ES"/>
        </w:rPr>
        <w:t xml:space="preserve">fin de </w:t>
      </w:r>
      <w:r w:rsidR="00E6311A" w:rsidRPr="00171D87">
        <w:rPr>
          <w:lang w:val="es-ES"/>
        </w:rPr>
        <w:t xml:space="preserve">que sea </w:t>
      </w:r>
      <w:r w:rsidR="005A2EFA" w:rsidRPr="00171D87">
        <w:rPr>
          <w:lang w:val="es-ES"/>
        </w:rPr>
        <w:t>flexibl</w:t>
      </w:r>
      <w:r w:rsidR="00E6311A" w:rsidRPr="00171D87">
        <w:rPr>
          <w:lang w:val="es-ES"/>
        </w:rPr>
        <w:t xml:space="preserve">e </w:t>
      </w:r>
      <w:r w:rsidR="005A2EFA" w:rsidRPr="00171D87">
        <w:rPr>
          <w:lang w:val="es-ES"/>
        </w:rPr>
        <w:t xml:space="preserve">y </w:t>
      </w:r>
      <w:r w:rsidR="00E6311A" w:rsidRPr="00171D87">
        <w:rPr>
          <w:lang w:val="es-ES"/>
        </w:rPr>
        <w:t xml:space="preserve">pueda </w:t>
      </w:r>
      <w:r w:rsidR="005A2EFA" w:rsidRPr="00171D87">
        <w:rPr>
          <w:lang w:val="es-ES"/>
        </w:rPr>
        <w:t>adapta</w:t>
      </w:r>
      <w:r w:rsidR="0018541A" w:rsidRPr="00171D87">
        <w:rPr>
          <w:lang w:val="es-ES"/>
        </w:rPr>
        <w:t xml:space="preserve">rse </w:t>
      </w:r>
      <w:r w:rsidR="005A2EFA" w:rsidRPr="00171D87">
        <w:rPr>
          <w:lang w:val="es-ES"/>
        </w:rPr>
        <w:t>a los contextos locales y regionales.</w:t>
      </w:r>
    </w:p>
    <w:p w14:paraId="467CBCE7" w14:textId="43767B02" w:rsidR="005A2EFA" w:rsidRPr="00171D87" w:rsidRDefault="005A2EFA" w:rsidP="00574E03">
      <w:pPr>
        <w:pStyle w:val="WMOBodyText"/>
        <w:tabs>
          <w:tab w:val="left" w:pos="567"/>
        </w:tabs>
        <w:rPr>
          <w:lang w:val="es-ES"/>
        </w:rPr>
      </w:pPr>
      <w:r w:rsidRPr="00171D87">
        <w:rPr>
          <w:lang w:val="es-ES"/>
        </w:rPr>
        <w:t>4.</w:t>
      </w:r>
      <w:r w:rsidRPr="00171D87">
        <w:rPr>
          <w:lang w:val="es-ES"/>
        </w:rPr>
        <w:tab/>
      </w:r>
      <w:r w:rsidR="00675937" w:rsidRPr="00171D87">
        <w:rPr>
          <w:lang w:val="es-ES"/>
        </w:rPr>
        <w:t>En el marco de l</w:t>
      </w:r>
      <w:r w:rsidR="00574E03" w:rsidRPr="00171D87">
        <w:rPr>
          <w:lang w:val="es-ES"/>
        </w:rPr>
        <w:t>as c</w:t>
      </w:r>
      <w:r w:rsidRPr="00171D87">
        <w:rPr>
          <w:lang w:val="es-ES"/>
        </w:rPr>
        <w:t xml:space="preserve">uatro </w:t>
      </w:r>
      <w:r w:rsidR="00574E03" w:rsidRPr="00171D87">
        <w:rPr>
          <w:lang w:val="es-ES"/>
        </w:rPr>
        <w:t xml:space="preserve">esferas que entrañan </w:t>
      </w:r>
      <w:r w:rsidRPr="00171D87">
        <w:rPr>
          <w:lang w:val="es-ES"/>
        </w:rPr>
        <w:t>gran</w:t>
      </w:r>
      <w:r w:rsidR="00574E03" w:rsidRPr="00171D87">
        <w:rPr>
          <w:lang w:val="es-ES"/>
        </w:rPr>
        <w:t>des</w:t>
      </w:r>
      <w:r w:rsidRPr="00171D87">
        <w:rPr>
          <w:lang w:val="es-ES"/>
        </w:rPr>
        <w:t xml:space="preserve"> desafío</w:t>
      </w:r>
      <w:r w:rsidR="00574E03" w:rsidRPr="00171D87">
        <w:rPr>
          <w:lang w:val="es-ES"/>
        </w:rPr>
        <w:t>s</w:t>
      </w:r>
      <w:r w:rsidRPr="00171D87">
        <w:rPr>
          <w:lang w:val="es-ES"/>
        </w:rPr>
        <w:t xml:space="preserve"> </w:t>
      </w:r>
      <w:r w:rsidR="00675937" w:rsidRPr="00171D87">
        <w:rPr>
          <w:lang w:val="es-ES"/>
        </w:rPr>
        <w:t xml:space="preserve">se </w:t>
      </w:r>
      <w:r w:rsidRPr="00171D87">
        <w:rPr>
          <w:lang w:val="es-ES"/>
        </w:rPr>
        <w:t xml:space="preserve">promueve </w:t>
      </w:r>
      <w:r w:rsidR="00675937" w:rsidRPr="00171D87">
        <w:rPr>
          <w:lang w:val="es-ES"/>
        </w:rPr>
        <w:t xml:space="preserve">la realización de </w:t>
      </w:r>
      <w:r w:rsidRPr="00171D87">
        <w:rPr>
          <w:lang w:val="es-ES"/>
        </w:rPr>
        <w:t>acciones catalizadoras para mejorar las aplicaciones de la ciencia y los servicios en esferas prioritarias de interés para la salud pública:</w:t>
      </w:r>
    </w:p>
    <w:p w14:paraId="3A67C57B" w14:textId="1C98B9FF" w:rsidR="005A2EFA" w:rsidRPr="00171D87" w:rsidRDefault="005A2EFA" w:rsidP="005A2EFA">
      <w:pPr>
        <w:pStyle w:val="WMOBodyText"/>
        <w:ind w:left="567" w:hanging="567"/>
        <w:rPr>
          <w:lang w:val="es-ES"/>
        </w:rPr>
      </w:pPr>
      <w:r w:rsidRPr="00171D87">
        <w:rPr>
          <w:lang w:val="es-ES"/>
        </w:rPr>
        <w:t>1)</w:t>
      </w:r>
      <w:r w:rsidRPr="00171D87">
        <w:rPr>
          <w:lang w:val="es-ES"/>
        </w:rPr>
        <w:tab/>
        <w:t>Nexo entre</w:t>
      </w:r>
      <w:r w:rsidR="001E252F" w:rsidRPr="00171D87">
        <w:rPr>
          <w:lang w:val="es-ES"/>
        </w:rPr>
        <w:t xml:space="preserve"> las zonas urbanas, el </w:t>
      </w:r>
      <w:r w:rsidRPr="00171D87">
        <w:rPr>
          <w:lang w:val="es-ES"/>
        </w:rPr>
        <w:t xml:space="preserve">clima y </w:t>
      </w:r>
      <w:r w:rsidR="001E252F" w:rsidRPr="00171D87">
        <w:rPr>
          <w:lang w:val="es-ES"/>
        </w:rPr>
        <w:t xml:space="preserve">la </w:t>
      </w:r>
      <w:r w:rsidRPr="00171D87">
        <w:rPr>
          <w:lang w:val="es-ES"/>
        </w:rPr>
        <w:t xml:space="preserve">salud. Un ejemplo de acción consistiría en abordar los riesgos para la salud relacionados con el calor extremo, las islas de calor urbanas, los incendios forestales, la calidad del aire </w:t>
      </w:r>
      <w:r w:rsidR="005D054A" w:rsidRPr="00171D87">
        <w:rPr>
          <w:lang w:val="es-ES"/>
        </w:rPr>
        <w:t>y del agua</w:t>
      </w:r>
      <w:r w:rsidR="00B83B44" w:rsidRPr="00171D87">
        <w:rPr>
          <w:lang w:val="es-ES"/>
        </w:rPr>
        <w:t xml:space="preserve">, </w:t>
      </w:r>
      <w:r w:rsidRPr="00171D87">
        <w:rPr>
          <w:lang w:val="es-ES"/>
        </w:rPr>
        <w:t xml:space="preserve">y otros riesgos para la salud en las </w:t>
      </w:r>
      <w:r w:rsidR="001E252F" w:rsidRPr="00171D87">
        <w:rPr>
          <w:lang w:val="es-ES"/>
        </w:rPr>
        <w:t xml:space="preserve">zonas urbanas </w:t>
      </w:r>
      <w:r w:rsidRPr="00171D87">
        <w:rPr>
          <w:lang w:val="es-ES"/>
        </w:rPr>
        <w:t>que se intensifican con el cambio climático</w:t>
      </w:r>
      <w:r w:rsidR="00430679" w:rsidRPr="00171D87">
        <w:rPr>
          <w:lang w:val="es-ES"/>
        </w:rPr>
        <w:t xml:space="preserve"> y su creciente </w:t>
      </w:r>
      <w:r w:rsidR="00F06D06" w:rsidRPr="00171D87">
        <w:rPr>
          <w:lang w:val="es-ES"/>
        </w:rPr>
        <w:t>variabilidad</w:t>
      </w:r>
      <w:r w:rsidRPr="00171D87">
        <w:rPr>
          <w:lang w:val="es-ES"/>
        </w:rPr>
        <w:t>.</w:t>
      </w:r>
    </w:p>
    <w:p w14:paraId="3A0FD82D" w14:textId="207E4139" w:rsidR="005A2EFA" w:rsidRPr="00171D87" w:rsidRDefault="005A2EFA" w:rsidP="005A2EFA">
      <w:pPr>
        <w:pStyle w:val="WMOBodyText"/>
        <w:ind w:left="567" w:hanging="567"/>
        <w:rPr>
          <w:lang w:val="es-ES"/>
        </w:rPr>
      </w:pPr>
      <w:r w:rsidRPr="00171D87">
        <w:rPr>
          <w:lang w:val="es-ES"/>
        </w:rPr>
        <w:t xml:space="preserve">2) </w:t>
      </w:r>
      <w:r w:rsidRPr="00171D87">
        <w:rPr>
          <w:lang w:val="es-ES"/>
        </w:rPr>
        <w:tab/>
        <w:t xml:space="preserve">Enfermedades infecciosas. En este caso, se podría intervenir ayudando a predecir, </w:t>
      </w:r>
      <w:r w:rsidR="00047607" w:rsidRPr="00171D87">
        <w:rPr>
          <w:lang w:val="es-ES"/>
        </w:rPr>
        <w:t xml:space="preserve">monitorear </w:t>
      </w:r>
      <w:r w:rsidRPr="00171D87">
        <w:rPr>
          <w:lang w:val="es-ES"/>
        </w:rPr>
        <w:t xml:space="preserve">y </w:t>
      </w:r>
      <w:r w:rsidR="00047607" w:rsidRPr="00171D87">
        <w:rPr>
          <w:lang w:val="es-ES"/>
        </w:rPr>
        <w:t xml:space="preserve">gestionar </w:t>
      </w:r>
      <w:r w:rsidRPr="00171D87">
        <w:rPr>
          <w:lang w:val="es-ES"/>
        </w:rPr>
        <w:t xml:space="preserve">los riesgos </w:t>
      </w:r>
      <w:r w:rsidR="006B7441" w:rsidRPr="00171D87">
        <w:rPr>
          <w:lang w:val="es-ES"/>
        </w:rPr>
        <w:t xml:space="preserve">asociados a las </w:t>
      </w:r>
      <w:r w:rsidRPr="00171D87">
        <w:rPr>
          <w:lang w:val="es-ES"/>
        </w:rPr>
        <w:t>enfermedades infecciosas sensibles al clima.</w:t>
      </w:r>
    </w:p>
    <w:p w14:paraId="0CE4FDAF" w14:textId="77777777" w:rsidR="005A2EFA" w:rsidRPr="00171D87" w:rsidRDefault="005A2EFA" w:rsidP="005A2EFA">
      <w:pPr>
        <w:pStyle w:val="WMOBodyText"/>
        <w:ind w:left="567" w:hanging="567"/>
        <w:rPr>
          <w:lang w:val="es-ES"/>
        </w:rPr>
      </w:pPr>
      <w:r w:rsidRPr="00171D87">
        <w:rPr>
          <w:lang w:val="es-ES"/>
        </w:rPr>
        <w:t xml:space="preserve">3) </w:t>
      </w:r>
      <w:r w:rsidRPr="00171D87">
        <w:rPr>
          <w:lang w:val="es-ES"/>
        </w:rPr>
        <w:tab/>
        <w:t>Nexo entre clima y nutrición. Una posible iniciativa consistiría en idear y desarrollar políticas y medidas destinadas a proteger la salud y la nutrición frente a la inestabilidad del sistema alimentario y las alteraciones debidas al cambio climático.</w:t>
      </w:r>
    </w:p>
    <w:p w14:paraId="47E4D30D" w14:textId="615A9978" w:rsidR="005A2EFA" w:rsidRPr="00171D87" w:rsidRDefault="005A2EFA" w:rsidP="005A2EFA">
      <w:pPr>
        <w:pStyle w:val="WMOBodyText"/>
        <w:ind w:left="567" w:hanging="567"/>
        <w:rPr>
          <w:lang w:val="es-ES"/>
        </w:rPr>
      </w:pPr>
      <w:r w:rsidRPr="00171D87">
        <w:rPr>
          <w:lang w:val="es-ES"/>
        </w:rPr>
        <w:t>4)</w:t>
      </w:r>
      <w:r w:rsidRPr="00171D87">
        <w:rPr>
          <w:lang w:val="es-ES"/>
        </w:rPr>
        <w:tab/>
        <w:t>Sistemas de salud caracterizados por la resiliencia al clima y las bajas emisiones de carbono. Aquí, por ejemplo, la actuación pasaría por apoyar la resiliencia climática de los sistemas de salud y la transición energética del sector sanitario a</w:t>
      </w:r>
      <w:r w:rsidR="00B2742D" w:rsidRPr="00171D87">
        <w:rPr>
          <w:lang w:val="es-ES"/>
        </w:rPr>
        <w:t xml:space="preserve">l </w:t>
      </w:r>
      <w:r w:rsidRPr="00171D87">
        <w:rPr>
          <w:lang w:val="es-ES"/>
        </w:rPr>
        <w:t xml:space="preserve">cero </w:t>
      </w:r>
      <w:r w:rsidR="003C4804" w:rsidRPr="00171D87">
        <w:rPr>
          <w:lang w:val="es-ES"/>
        </w:rPr>
        <w:t xml:space="preserve">neto en </w:t>
      </w:r>
      <w:r w:rsidRPr="00171D87">
        <w:rPr>
          <w:lang w:val="es-ES"/>
        </w:rPr>
        <w:t>emisiones.</w:t>
      </w:r>
    </w:p>
    <w:p w14:paraId="30818792" w14:textId="3C19F50C" w:rsidR="005A2EFA" w:rsidRPr="00171D87" w:rsidRDefault="005A2EFA" w:rsidP="003C4804">
      <w:pPr>
        <w:pStyle w:val="WMOBodyText"/>
        <w:tabs>
          <w:tab w:val="left" w:pos="567"/>
        </w:tabs>
        <w:rPr>
          <w:lang w:val="es-ES"/>
        </w:rPr>
      </w:pPr>
      <w:r w:rsidRPr="00171D87">
        <w:rPr>
          <w:lang w:val="es-ES"/>
        </w:rPr>
        <w:t>5.</w:t>
      </w:r>
      <w:r w:rsidRPr="00171D87">
        <w:rPr>
          <w:lang w:val="es-ES"/>
        </w:rPr>
        <w:tab/>
      </w:r>
      <w:r w:rsidR="00113F77" w:rsidRPr="00171D87">
        <w:rPr>
          <w:lang w:val="es-ES"/>
        </w:rPr>
        <w:t xml:space="preserve">En el </w:t>
      </w:r>
      <w:r w:rsidR="00D3592C" w:rsidRPr="00171D87">
        <w:rPr>
          <w:lang w:val="es-ES"/>
        </w:rPr>
        <w:t xml:space="preserve">marco </w:t>
      </w:r>
      <w:r w:rsidR="00113F77" w:rsidRPr="00171D87">
        <w:rPr>
          <w:lang w:val="es-ES"/>
        </w:rPr>
        <w:t>de l</w:t>
      </w:r>
      <w:r w:rsidRPr="00171D87">
        <w:rPr>
          <w:lang w:val="es-ES"/>
        </w:rPr>
        <w:t xml:space="preserve">as esferas fundamentales de apoyo </w:t>
      </w:r>
      <w:r w:rsidR="00113F77" w:rsidRPr="00171D87">
        <w:rPr>
          <w:lang w:val="es-ES"/>
        </w:rPr>
        <w:t xml:space="preserve">se </w:t>
      </w:r>
      <w:r w:rsidRPr="00171D87">
        <w:rPr>
          <w:lang w:val="es-ES"/>
        </w:rPr>
        <w:t xml:space="preserve">proponen medidas y mecanismos </w:t>
      </w:r>
      <w:r w:rsidR="00596EC5" w:rsidRPr="00171D87">
        <w:rPr>
          <w:lang w:val="es-ES"/>
        </w:rPr>
        <w:t xml:space="preserve">encaminados a </w:t>
      </w:r>
      <w:r w:rsidRPr="00171D87">
        <w:rPr>
          <w:lang w:val="es-ES"/>
        </w:rPr>
        <w:t xml:space="preserve">guiar un cambio transformador en la </w:t>
      </w:r>
      <w:r w:rsidR="00B71DAB" w:rsidRPr="00171D87">
        <w:rPr>
          <w:lang w:val="es-ES"/>
        </w:rPr>
        <w:t xml:space="preserve">ciencia, los servicios y la política en los ámbitos </w:t>
      </w:r>
      <w:r w:rsidR="00D3592C" w:rsidRPr="00171D87">
        <w:rPr>
          <w:lang w:val="es-ES"/>
        </w:rPr>
        <w:t>del clima y la salud</w:t>
      </w:r>
      <w:r w:rsidR="001F6645" w:rsidRPr="00171D87">
        <w:rPr>
          <w:lang w:val="es-ES"/>
        </w:rPr>
        <w:t xml:space="preserve">, </w:t>
      </w:r>
      <w:r w:rsidR="0054624B" w:rsidRPr="00171D87">
        <w:rPr>
          <w:lang w:val="es-ES"/>
        </w:rPr>
        <w:t xml:space="preserve">por ejemplo, para </w:t>
      </w:r>
      <w:r w:rsidR="004B1D37" w:rsidRPr="00171D87">
        <w:rPr>
          <w:lang w:val="es-ES"/>
        </w:rPr>
        <w:t xml:space="preserve">potenciar </w:t>
      </w:r>
      <w:r w:rsidRPr="00171D87">
        <w:rPr>
          <w:lang w:val="es-ES"/>
        </w:rPr>
        <w:t>la</w:t>
      </w:r>
      <w:r w:rsidR="0054624B" w:rsidRPr="00171D87">
        <w:rPr>
          <w:lang w:val="es-ES"/>
        </w:rPr>
        <w:t xml:space="preserve"> </w:t>
      </w:r>
      <w:r w:rsidRPr="00171D87">
        <w:rPr>
          <w:lang w:val="es-ES"/>
        </w:rPr>
        <w:t xml:space="preserve">política y </w:t>
      </w:r>
      <w:r w:rsidR="0054624B" w:rsidRPr="00171D87">
        <w:rPr>
          <w:lang w:val="es-ES"/>
        </w:rPr>
        <w:t xml:space="preserve">la </w:t>
      </w:r>
      <w:r w:rsidRPr="00171D87">
        <w:rPr>
          <w:lang w:val="es-ES"/>
        </w:rPr>
        <w:t>coordinación</w:t>
      </w:r>
      <w:r w:rsidR="00DA16CE" w:rsidRPr="00171D87">
        <w:rPr>
          <w:lang w:val="es-ES"/>
        </w:rPr>
        <w:t>;</w:t>
      </w:r>
      <w:r w:rsidRPr="00171D87">
        <w:rPr>
          <w:lang w:val="es-ES"/>
        </w:rPr>
        <w:t xml:space="preserve"> </w:t>
      </w:r>
      <w:r w:rsidR="004B1D37" w:rsidRPr="00171D87">
        <w:rPr>
          <w:lang w:val="es-ES"/>
        </w:rPr>
        <w:t xml:space="preserve">la </w:t>
      </w:r>
      <w:r w:rsidRPr="00171D87">
        <w:rPr>
          <w:lang w:val="es-ES"/>
        </w:rPr>
        <w:t>creación de capacidad</w:t>
      </w:r>
      <w:r w:rsidR="00DA16CE" w:rsidRPr="00171D87">
        <w:rPr>
          <w:lang w:val="es-ES"/>
        </w:rPr>
        <w:t>;</w:t>
      </w:r>
      <w:r w:rsidRPr="00171D87">
        <w:rPr>
          <w:lang w:val="es-ES"/>
        </w:rPr>
        <w:t xml:space="preserve"> </w:t>
      </w:r>
      <w:r w:rsidR="004B1D37" w:rsidRPr="00171D87">
        <w:rPr>
          <w:lang w:val="es-ES"/>
        </w:rPr>
        <w:t xml:space="preserve">las </w:t>
      </w:r>
      <w:r w:rsidRPr="00171D87">
        <w:rPr>
          <w:lang w:val="es-ES"/>
        </w:rPr>
        <w:t>comunicaciones</w:t>
      </w:r>
      <w:r w:rsidR="00DA16CE" w:rsidRPr="00171D87">
        <w:rPr>
          <w:lang w:val="es-ES"/>
        </w:rPr>
        <w:t>;</w:t>
      </w:r>
      <w:r w:rsidRPr="00171D87">
        <w:rPr>
          <w:lang w:val="es-ES"/>
        </w:rPr>
        <w:t xml:space="preserve"> </w:t>
      </w:r>
      <w:r w:rsidR="00DA16CE" w:rsidRPr="00171D87">
        <w:rPr>
          <w:lang w:val="es-ES"/>
        </w:rPr>
        <w:t xml:space="preserve">la </w:t>
      </w:r>
      <w:r w:rsidRPr="00171D87">
        <w:rPr>
          <w:lang w:val="es-ES"/>
        </w:rPr>
        <w:t>investigación</w:t>
      </w:r>
      <w:r w:rsidR="00DA16CE" w:rsidRPr="00171D87">
        <w:rPr>
          <w:lang w:val="es-ES"/>
        </w:rPr>
        <w:t>;</w:t>
      </w:r>
      <w:r w:rsidRPr="00171D87">
        <w:rPr>
          <w:lang w:val="es-ES"/>
        </w:rPr>
        <w:t xml:space="preserve"> </w:t>
      </w:r>
      <w:r w:rsidR="00DA16CE" w:rsidRPr="00171D87">
        <w:rPr>
          <w:lang w:val="es-ES"/>
        </w:rPr>
        <w:t xml:space="preserve">los </w:t>
      </w:r>
      <w:r w:rsidRPr="00171D87">
        <w:rPr>
          <w:lang w:val="es-ES"/>
        </w:rPr>
        <w:t>servicios operativos</w:t>
      </w:r>
      <w:r w:rsidR="00DA16CE" w:rsidRPr="00171D87">
        <w:rPr>
          <w:lang w:val="es-ES"/>
        </w:rPr>
        <w:t>,</w:t>
      </w:r>
      <w:r w:rsidRPr="00171D87">
        <w:rPr>
          <w:lang w:val="es-ES"/>
        </w:rPr>
        <w:t xml:space="preserve"> y </w:t>
      </w:r>
      <w:r w:rsidR="00DA16CE" w:rsidRPr="00171D87">
        <w:rPr>
          <w:lang w:val="es-ES"/>
        </w:rPr>
        <w:t>el monitoreo</w:t>
      </w:r>
      <w:r w:rsidRPr="00171D87">
        <w:rPr>
          <w:lang w:val="es-ES"/>
        </w:rPr>
        <w:t xml:space="preserve">, </w:t>
      </w:r>
      <w:r w:rsidR="00DA16CE" w:rsidRPr="00171D87">
        <w:rPr>
          <w:lang w:val="es-ES"/>
        </w:rPr>
        <w:t xml:space="preserve">la </w:t>
      </w:r>
      <w:r w:rsidRPr="00171D87">
        <w:rPr>
          <w:lang w:val="es-ES"/>
        </w:rPr>
        <w:t xml:space="preserve">evaluación y </w:t>
      </w:r>
      <w:r w:rsidR="00DA16CE" w:rsidRPr="00171D87">
        <w:rPr>
          <w:lang w:val="es-ES"/>
        </w:rPr>
        <w:t xml:space="preserve">el </w:t>
      </w:r>
      <w:r w:rsidRPr="00171D87">
        <w:rPr>
          <w:lang w:val="es-ES"/>
        </w:rPr>
        <w:t>aprendizaje.</w:t>
      </w:r>
    </w:p>
    <w:p w14:paraId="743AAA74" w14:textId="3982BC7B" w:rsidR="005A2EFA" w:rsidRPr="00171D87" w:rsidRDefault="005A2EFA" w:rsidP="003C4804">
      <w:pPr>
        <w:pStyle w:val="WMOBodyText"/>
        <w:tabs>
          <w:tab w:val="left" w:pos="567"/>
        </w:tabs>
        <w:rPr>
          <w:lang w:val="es-ES"/>
        </w:rPr>
      </w:pPr>
      <w:r w:rsidRPr="00171D87">
        <w:rPr>
          <w:lang w:val="es-ES"/>
        </w:rPr>
        <w:t>6.</w:t>
      </w:r>
      <w:r w:rsidRPr="00171D87">
        <w:rPr>
          <w:lang w:val="es-ES"/>
        </w:rPr>
        <w:tab/>
        <w:t xml:space="preserve">Este </w:t>
      </w:r>
      <w:r w:rsidR="00DA16CE" w:rsidRPr="00171D87">
        <w:rPr>
          <w:lang w:val="es-ES"/>
        </w:rPr>
        <w:t>P</w:t>
      </w:r>
      <w:r w:rsidRPr="00171D87">
        <w:rPr>
          <w:lang w:val="es-ES"/>
        </w:rPr>
        <w:t xml:space="preserve">lan de </w:t>
      </w:r>
      <w:r w:rsidR="00DA16CE" w:rsidRPr="00171D87">
        <w:rPr>
          <w:lang w:val="es-ES"/>
        </w:rPr>
        <w:t>E</w:t>
      </w:r>
      <w:r w:rsidRPr="00171D87">
        <w:rPr>
          <w:lang w:val="es-ES"/>
        </w:rPr>
        <w:t>jecución prevé acciones tanto descendentes como ascendentes que adopt</w:t>
      </w:r>
      <w:r w:rsidR="00394092" w:rsidRPr="00171D87">
        <w:rPr>
          <w:lang w:val="es-ES"/>
        </w:rPr>
        <w:t xml:space="preserve">arán </w:t>
      </w:r>
      <w:r w:rsidRPr="00171D87">
        <w:rPr>
          <w:lang w:val="es-ES"/>
        </w:rPr>
        <w:t>enfoques diferentes en los planos local, nacional, regional y mundial. L</w:t>
      </w:r>
      <w:r w:rsidR="009027DC" w:rsidRPr="00171D87">
        <w:rPr>
          <w:lang w:val="es-ES"/>
        </w:rPr>
        <w:t>o</w:t>
      </w:r>
      <w:r w:rsidRPr="00171D87">
        <w:rPr>
          <w:lang w:val="es-ES"/>
        </w:rPr>
        <w:t xml:space="preserve">s </w:t>
      </w:r>
      <w:r w:rsidR="009027DC" w:rsidRPr="00171D87">
        <w:rPr>
          <w:lang w:val="es-ES"/>
        </w:rPr>
        <w:t xml:space="preserve">nexos </w:t>
      </w:r>
      <w:r w:rsidR="00C20627" w:rsidRPr="00171D87">
        <w:rPr>
          <w:lang w:val="es-ES"/>
        </w:rPr>
        <w:t xml:space="preserve">definidos </w:t>
      </w:r>
      <w:r w:rsidRPr="00171D87">
        <w:rPr>
          <w:lang w:val="es-ES"/>
        </w:rPr>
        <w:t xml:space="preserve">abarcan muchos de los problemas de salud </w:t>
      </w:r>
      <w:r w:rsidR="00C20627" w:rsidRPr="00171D87">
        <w:rPr>
          <w:lang w:val="es-ES"/>
        </w:rPr>
        <w:t xml:space="preserve">en los que influye </w:t>
      </w:r>
      <w:r w:rsidR="00011130" w:rsidRPr="00171D87">
        <w:rPr>
          <w:lang w:val="es-ES"/>
        </w:rPr>
        <w:t>e</w:t>
      </w:r>
      <w:r w:rsidRPr="00171D87">
        <w:rPr>
          <w:lang w:val="es-ES"/>
        </w:rPr>
        <w:t xml:space="preserve">l cambio climático y </w:t>
      </w:r>
      <w:r w:rsidR="006D1CE8" w:rsidRPr="00171D87">
        <w:rPr>
          <w:lang w:val="es-ES"/>
        </w:rPr>
        <w:t xml:space="preserve">los cambios </w:t>
      </w:r>
      <w:r w:rsidRPr="00171D87">
        <w:rPr>
          <w:lang w:val="es-ES"/>
        </w:rPr>
        <w:t>medioambiental</w:t>
      </w:r>
      <w:r w:rsidR="006D1CE8" w:rsidRPr="00171D87">
        <w:rPr>
          <w:lang w:val="es-ES"/>
        </w:rPr>
        <w:t>es</w:t>
      </w:r>
      <w:r w:rsidRPr="00171D87">
        <w:rPr>
          <w:lang w:val="es-ES"/>
        </w:rPr>
        <w:t>, pero no todos. Otras prioridades relacionadas con el clima, el medioambiente y la salud pueden tratarse a través de planes específicos a escala nacional o regional adaptados al lugar. Del mismo modo, las medidas relacionadas con l</w:t>
      </w:r>
      <w:r w:rsidR="006D1CE8" w:rsidRPr="00171D87">
        <w:rPr>
          <w:lang w:val="es-ES"/>
        </w:rPr>
        <w:t>a</w:t>
      </w:r>
      <w:r w:rsidRPr="00171D87">
        <w:rPr>
          <w:lang w:val="es-ES"/>
        </w:rPr>
        <w:t xml:space="preserve">s </w:t>
      </w:r>
      <w:r w:rsidR="006D1CE8" w:rsidRPr="00171D87">
        <w:rPr>
          <w:lang w:val="es-ES"/>
        </w:rPr>
        <w:t xml:space="preserve">esferas </w:t>
      </w:r>
      <w:r w:rsidRPr="00171D87">
        <w:rPr>
          <w:lang w:val="es-ES"/>
        </w:rPr>
        <w:t xml:space="preserve">fundamentales de apoyo también pueden variar de una región a otra en función de las necesidades. Se pretende que los mecanismos nuevos y </w:t>
      </w:r>
      <w:r w:rsidR="008242FA" w:rsidRPr="00171D87">
        <w:rPr>
          <w:lang w:val="es-ES"/>
        </w:rPr>
        <w:t xml:space="preserve">actuales </w:t>
      </w:r>
      <w:r w:rsidRPr="00171D87">
        <w:rPr>
          <w:lang w:val="es-ES"/>
        </w:rPr>
        <w:t xml:space="preserve">estén vinculados en red para optimizar los recursos y mejorar la capacidad y la actuación en todos los </w:t>
      </w:r>
      <w:r w:rsidR="00012478" w:rsidRPr="00171D87">
        <w:rPr>
          <w:lang w:val="es-ES"/>
        </w:rPr>
        <w:t>niveles</w:t>
      </w:r>
      <w:r w:rsidRPr="00171D87">
        <w:rPr>
          <w:lang w:val="es-ES"/>
        </w:rPr>
        <w:t>.</w:t>
      </w:r>
    </w:p>
    <w:p w14:paraId="09AA09BF" w14:textId="1B2CD591" w:rsidR="005A2EFA" w:rsidRPr="00171D87" w:rsidRDefault="005A2EFA" w:rsidP="003C4804">
      <w:pPr>
        <w:pStyle w:val="WMOBodyText"/>
        <w:tabs>
          <w:tab w:val="left" w:pos="567"/>
        </w:tabs>
        <w:rPr>
          <w:lang w:val="es-ES"/>
        </w:rPr>
      </w:pPr>
      <w:r w:rsidRPr="00171D87">
        <w:rPr>
          <w:lang w:val="es-ES"/>
        </w:rPr>
        <w:t>7.</w:t>
      </w:r>
      <w:r w:rsidRPr="00171D87">
        <w:rPr>
          <w:lang w:val="es-ES"/>
        </w:rPr>
        <w:tab/>
        <w:t xml:space="preserve">Entre los ejemplos de medidas y mecanismos propuestos en el </w:t>
      </w:r>
      <w:r w:rsidR="00257594" w:rsidRPr="00171D87">
        <w:rPr>
          <w:lang w:val="es-ES"/>
        </w:rPr>
        <w:t>P</w:t>
      </w:r>
      <w:r w:rsidRPr="00171D87">
        <w:rPr>
          <w:lang w:val="es-ES"/>
        </w:rPr>
        <w:t xml:space="preserve">lan </w:t>
      </w:r>
      <w:r w:rsidR="00DC2AEF" w:rsidRPr="00171D87">
        <w:rPr>
          <w:lang w:val="es-ES"/>
        </w:rPr>
        <w:t xml:space="preserve">figuran </w:t>
      </w:r>
      <w:r w:rsidRPr="00171D87">
        <w:rPr>
          <w:lang w:val="es-ES"/>
        </w:rPr>
        <w:t xml:space="preserve">los siguientes: </w:t>
      </w:r>
    </w:p>
    <w:p w14:paraId="5B44A38D" w14:textId="28129C5B" w:rsidR="005A2EFA" w:rsidRPr="00171D87" w:rsidRDefault="00AE7EB8" w:rsidP="00AE7EB8">
      <w:pPr>
        <w:pStyle w:val="WMOBodyText"/>
        <w:ind w:left="567" w:hanging="567"/>
        <w:rPr>
          <w:lang w:val="es-ES"/>
        </w:rPr>
      </w:pPr>
      <w:r w:rsidRPr="00171D87">
        <w:rPr>
          <w:rFonts w:ascii="Calibri" w:hAnsi="Calibri"/>
          <w:lang w:val="es-ES"/>
        </w:rPr>
        <w:t>-</w:t>
      </w:r>
      <w:r w:rsidRPr="00171D87">
        <w:rPr>
          <w:rFonts w:ascii="Calibri" w:hAnsi="Calibri"/>
          <w:lang w:val="es-ES"/>
        </w:rPr>
        <w:tab/>
      </w:r>
      <w:r w:rsidR="0061022F" w:rsidRPr="00171D87">
        <w:rPr>
          <w:lang w:val="es-ES"/>
        </w:rPr>
        <w:t>c</w:t>
      </w:r>
      <w:r w:rsidR="005A2EFA" w:rsidRPr="00171D87">
        <w:rPr>
          <w:lang w:val="es-ES"/>
        </w:rPr>
        <w:t xml:space="preserve">omunidad de práctica relacionada con la salud constituida por los coordinadores de los </w:t>
      </w:r>
      <w:r w:rsidR="00C02784" w:rsidRPr="00171D87">
        <w:rPr>
          <w:lang w:val="es-ES"/>
        </w:rPr>
        <w:t>Servicios Meteorológicos e Hidrológicos Nacionales (</w:t>
      </w:r>
      <w:r w:rsidR="005A2EFA" w:rsidRPr="00171D87">
        <w:rPr>
          <w:lang w:val="es-ES"/>
        </w:rPr>
        <w:t>SMHN</w:t>
      </w:r>
      <w:r w:rsidR="00C02784" w:rsidRPr="00171D87">
        <w:rPr>
          <w:lang w:val="es-ES"/>
        </w:rPr>
        <w:t>)</w:t>
      </w:r>
      <w:r w:rsidR="0061022F" w:rsidRPr="00171D87">
        <w:rPr>
          <w:lang w:val="es-ES"/>
        </w:rPr>
        <w:t>;</w:t>
      </w:r>
    </w:p>
    <w:p w14:paraId="734336C8" w14:textId="31B92D7B" w:rsidR="005A2EFA" w:rsidRPr="00171D87" w:rsidRDefault="00AE7EB8" w:rsidP="00AE7EB8">
      <w:pPr>
        <w:pStyle w:val="WMOBodyText"/>
        <w:ind w:left="567" w:hanging="567"/>
        <w:rPr>
          <w:lang w:val="es-ES"/>
        </w:rPr>
      </w:pPr>
      <w:r w:rsidRPr="00171D87">
        <w:rPr>
          <w:rFonts w:ascii="Calibri" w:hAnsi="Calibri"/>
          <w:lang w:val="es-ES"/>
        </w:rPr>
        <w:t>-</w:t>
      </w:r>
      <w:r w:rsidRPr="00171D87">
        <w:rPr>
          <w:rFonts w:ascii="Calibri" w:hAnsi="Calibri"/>
          <w:lang w:val="es-ES"/>
        </w:rPr>
        <w:tab/>
      </w:r>
      <w:r w:rsidR="0061022F" w:rsidRPr="00171D87">
        <w:rPr>
          <w:lang w:val="es-ES"/>
        </w:rPr>
        <w:t>p</w:t>
      </w:r>
      <w:r w:rsidR="005A2EFA" w:rsidRPr="00171D87">
        <w:rPr>
          <w:lang w:val="es-ES"/>
        </w:rPr>
        <w:t xml:space="preserve">rograma de </w:t>
      </w:r>
      <w:r w:rsidR="00BA77C9" w:rsidRPr="00171D87">
        <w:rPr>
          <w:lang w:val="es-ES"/>
        </w:rPr>
        <w:t>instrucción</w:t>
      </w:r>
      <w:r w:rsidR="005A2EFA" w:rsidRPr="00171D87">
        <w:rPr>
          <w:lang w:val="es-ES"/>
        </w:rPr>
        <w:t xml:space="preserve"> y competencias en materia de clima y salud</w:t>
      </w:r>
      <w:r w:rsidR="0061022F" w:rsidRPr="00171D87">
        <w:rPr>
          <w:lang w:val="es-ES"/>
        </w:rPr>
        <w:t>;</w:t>
      </w:r>
    </w:p>
    <w:p w14:paraId="74997955" w14:textId="24D2454C" w:rsidR="005A2EFA" w:rsidRPr="00171D87" w:rsidRDefault="00AE7EB8" w:rsidP="00AE7EB8">
      <w:pPr>
        <w:pStyle w:val="WMOBodyText"/>
        <w:ind w:left="567" w:hanging="567"/>
        <w:rPr>
          <w:lang w:val="es-ES"/>
        </w:rPr>
      </w:pPr>
      <w:r w:rsidRPr="00171D87">
        <w:rPr>
          <w:rFonts w:ascii="Calibri" w:hAnsi="Calibri"/>
          <w:lang w:val="es-ES"/>
        </w:rPr>
        <w:lastRenderedPageBreak/>
        <w:t>-</w:t>
      </w:r>
      <w:r w:rsidRPr="00171D87">
        <w:rPr>
          <w:rFonts w:ascii="Calibri" w:hAnsi="Calibri"/>
          <w:lang w:val="es-ES"/>
        </w:rPr>
        <w:tab/>
      </w:r>
      <w:r w:rsidR="00666AAE" w:rsidRPr="00171D87">
        <w:rPr>
          <w:lang w:val="es-ES"/>
        </w:rPr>
        <w:t>e</w:t>
      </w:r>
      <w:r w:rsidR="005A2EFA" w:rsidRPr="00171D87">
        <w:rPr>
          <w:lang w:val="es-ES"/>
        </w:rPr>
        <w:t>quipos de apoyo técnico y centros de excelencia en clima y salud</w:t>
      </w:r>
      <w:r w:rsidR="00666AAE" w:rsidRPr="00171D87">
        <w:rPr>
          <w:lang w:val="es-ES"/>
        </w:rPr>
        <w:t>;</w:t>
      </w:r>
    </w:p>
    <w:p w14:paraId="3ED0BAA0" w14:textId="314E52FB" w:rsidR="005A2EFA" w:rsidRPr="00171D87" w:rsidRDefault="00AE7EB8" w:rsidP="00AE7EB8">
      <w:pPr>
        <w:pStyle w:val="WMOBodyText"/>
        <w:ind w:left="567" w:hanging="567"/>
        <w:rPr>
          <w:lang w:val="es-ES"/>
        </w:rPr>
      </w:pPr>
      <w:r w:rsidRPr="00171D87">
        <w:rPr>
          <w:rFonts w:ascii="Calibri" w:hAnsi="Calibri"/>
          <w:lang w:val="es-ES"/>
        </w:rPr>
        <w:t>-</w:t>
      </w:r>
      <w:r w:rsidRPr="00171D87">
        <w:rPr>
          <w:rFonts w:ascii="Calibri" w:hAnsi="Calibri"/>
          <w:lang w:val="es-ES"/>
        </w:rPr>
        <w:tab/>
      </w:r>
      <w:r w:rsidR="00C24B17" w:rsidRPr="00171D87">
        <w:rPr>
          <w:lang w:val="es-ES"/>
        </w:rPr>
        <w:t>e</w:t>
      </w:r>
      <w:r w:rsidR="005A2EFA" w:rsidRPr="00171D87">
        <w:rPr>
          <w:lang w:val="es-ES"/>
        </w:rPr>
        <w:t xml:space="preserve">quipos de expertos para abordar </w:t>
      </w:r>
      <w:r w:rsidR="00C24B17" w:rsidRPr="00171D87">
        <w:rPr>
          <w:lang w:val="es-ES"/>
        </w:rPr>
        <w:t xml:space="preserve">necesidades </w:t>
      </w:r>
      <w:r w:rsidR="005A2EFA" w:rsidRPr="00171D87">
        <w:rPr>
          <w:lang w:val="es-ES"/>
        </w:rPr>
        <w:t>y temas específicos</w:t>
      </w:r>
      <w:r w:rsidR="00C24B17" w:rsidRPr="00171D87">
        <w:rPr>
          <w:lang w:val="es-ES"/>
        </w:rPr>
        <w:t>;</w:t>
      </w:r>
    </w:p>
    <w:p w14:paraId="689452A1" w14:textId="44133E6A" w:rsidR="005A2EFA" w:rsidRPr="00171D87" w:rsidRDefault="00AE7EB8" w:rsidP="00AE7EB8">
      <w:pPr>
        <w:pStyle w:val="WMOBodyText"/>
        <w:ind w:left="567" w:hanging="567"/>
        <w:rPr>
          <w:lang w:val="es-ES"/>
        </w:rPr>
      </w:pPr>
      <w:r w:rsidRPr="00171D87">
        <w:rPr>
          <w:rFonts w:ascii="Calibri" w:hAnsi="Calibri"/>
          <w:lang w:val="es-ES"/>
        </w:rPr>
        <w:t>-</w:t>
      </w:r>
      <w:r w:rsidRPr="00171D87">
        <w:rPr>
          <w:rFonts w:ascii="Calibri" w:hAnsi="Calibri"/>
          <w:lang w:val="es-ES"/>
        </w:rPr>
        <w:tab/>
      </w:r>
      <w:r w:rsidR="00C014A3" w:rsidRPr="00171D87">
        <w:rPr>
          <w:lang w:val="es-ES"/>
        </w:rPr>
        <w:t>mecanismos de coordinación y p</w:t>
      </w:r>
      <w:r w:rsidR="005A2EFA" w:rsidRPr="00171D87">
        <w:rPr>
          <w:lang w:val="es-ES"/>
        </w:rPr>
        <w:t xml:space="preserve">lanes de clima y salud </w:t>
      </w:r>
      <w:r w:rsidR="00C014A3" w:rsidRPr="00171D87">
        <w:rPr>
          <w:lang w:val="es-ES"/>
        </w:rPr>
        <w:t>nacionales y regionales;</w:t>
      </w:r>
    </w:p>
    <w:p w14:paraId="1D32E7C5" w14:textId="4D5EACAD" w:rsidR="005A2EFA" w:rsidRPr="00171D87" w:rsidRDefault="00AE7EB8" w:rsidP="00AE7EB8">
      <w:pPr>
        <w:pStyle w:val="WMOBodyText"/>
        <w:ind w:left="567" w:hanging="567"/>
        <w:rPr>
          <w:lang w:val="es-ES"/>
        </w:rPr>
      </w:pPr>
      <w:r w:rsidRPr="00171D87">
        <w:rPr>
          <w:rFonts w:ascii="Calibri" w:hAnsi="Calibri"/>
          <w:lang w:val="es-ES"/>
        </w:rPr>
        <w:t>-</w:t>
      </w:r>
      <w:r w:rsidRPr="00171D87">
        <w:rPr>
          <w:rFonts w:ascii="Calibri" w:hAnsi="Calibri"/>
          <w:lang w:val="es-ES"/>
        </w:rPr>
        <w:tab/>
      </w:r>
      <w:r w:rsidR="005D705E" w:rsidRPr="00171D87">
        <w:rPr>
          <w:lang w:val="es-ES"/>
        </w:rPr>
        <w:t>p</w:t>
      </w:r>
      <w:r w:rsidR="005A2EFA" w:rsidRPr="00171D87">
        <w:rPr>
          <w:lang w:val="es-ES"/>
        </w:rPr>
        <w:t xml:space="preserve">rograma de becas y adscripciones en </w:t>
      </w:r>
      <w:r w:rsidR="005D705E" w:rsidRPr="00171D87">
        <w:rPr>
          <w:lang w:val="es-ES"/>
        </w:rPr>
        <w:t xml:space="preserve">los ámbitos del </w:t>
      </w:r>
      <w:r w:rsidR="005A2EFA" w:rsidRPr="00171D87">
        <w:rPr>
          <w:lang w:val="es-ES"/>
        </w:rPr>
        <w:t xml:space="preserve">clima y </w:t>
      </w:r>
      <w:r w:rsidR="005D705E" w:rsidRPr="00171D87">
        <w:rPr>
          <w:lang w:val="es-ES"/>
        </w:rPr>
        <w:t xml:space="preserve">la </w:t>
      </w:r>
      <w:r w:rsidR="005A2EFA" w:rsidRPr="00171D87">
        <w:rPr>
          <w:lang w:val="es-ES"/>
        </w:rPr>
        <w:t>salud</w:t>
      </w:r>
      <w:r w:rsidR="005D705E" w:rsidRPr="00171D87">
        <w:rPr>
          <w:lang w:val="es-ES"/>
        </w:rPr>
        <w:t>;</w:t>
      </w:r>
    </w:p>
    <w:p w14:paraId="44F23F04" w14:textId="1FEC7559" w:rsidR="005A2EFA" w:rsidRPr="00171D87" w:rsidRDefault="00AE7EB8" w:rsidP="00AE7EB8">
      <w:pPr>
        <w:pStyle w:val="WMOBodyText"/>
        <w:ind w:left="567" w:hanging="567"/>
        <w:rPr>
          <w:lang w:val="es-ES"/>
        </w:rPr>
      </w:pPr>
      <w:r w:rsidRPr="00171D87">
        <w:rPr>
          <w:rFonts w:ascii="Calibri" w:hAnsi="Calibri"/>
          <w:lang w:val="es-ES"/>
        </w:rPr>
        <w:t>-</w:t>
      </w:r>
      <w:r w:rsidRPr="00171D87">
        <w:rPr>
          <w:rFonts w:ascii="Calibri" w:hAnsi="Calibri"/>
          <w:lang w:val="es-ES"/>
        </w:rPr>
        <w:tab/>
      </w:r>
      <w:r w:rsidR="0019125D" w:rsidRPr="00171D87">
        <w:rPr>
          <w:lang w:val="es-ES"/>
        </w:rPr>
        <w:t xml:space="preserve">recursos en línea y </w:t>
      </w:r>
      <w:r w:rsidR="005D705E" w:rsidRPr="00171D87">
        <w:rPr>
          <w:lang w:val="es-ES"/>
        </w:rPr>
        <w:t>h</w:t>
      </w:r>
      <w:r w:rsidR="005A2EFA" w:rsidRPr="00171D87">
        <w:rPr>
          <w:lang w:val="es-ES"/>
        </w:rPr>
        <w:t xml:space="preserve">erramientas </w:t>
      </w:r>
      <w:r w:rsidR="0019125D" w:rsidRPr="00171D87">
        <w:rPr>
          <w:lang w:val="es-ES"/>
        </w:rPr>
        <w:t xml:space="preserve">para </w:t>
      </w:r>
      <w:r w:rsidR="005A2EFA" w:rsidRPr="00171D87">
        <w:rPr>
          <w:lang w:val="es-ES"/>
        </w:rPr>
        <w:t>comunica</w:t>
      </w:r>
      <w:r w:rsidR="0019125D" w:rsidRPr="00171D87">
        <w:rPr>
          <w:lang w:val="es-ES"/>
        </w:rPr>
        <w:t xml:space="preserve">r conocimientos científicos en los ámbitos del </w:t>
      </w:r>
      <w:r w:rsidR="005A2EFA" w:rsidRPr="00171D87">
        <w:rPr>
          <w:lang w:val="es-ES"/>
        </w:rPr>
        <w:t>clima</w:t>
      </w:r>
      <w:r w:rsidR="0019125D" w:rsidRPr="00171D87">
        <w:rPr>
          <w:lang w:val="es-ES"/>
        </w:rPr>
        <w:t xml:space="preserve"> </w:t>
      </w:r>
      <w:r w:rsidR="005A2EFA" w:rsidRPr="00171D87">
        <w:rPr>
          <w:lang w:val="es-ES"/>
        </w:rPr>
        <w:t xml:space="preserve">y </w:t>
      </w:r>
      <w:r w:rsidR="0019125D" w:rsidRPr="00171D87">
        <w:rPr>
          <w:lang w:val="es-ES"/>
        </w:rPr>
        <w:t xml:space="preserve">la </w:t>
      </w:r>
      <w:r w:rsidR="005A2EFA" w:rsidRPr="00171D87">
        <w:rPr>
          <w:lang w:val="es-ES"/>
        </w:rPr>
        <w:t>salud</w:t>
      </w:r>
      <w:r w:rsidR="0019125D" w:rsidRPr="00171D87">
        <w:rPr>
          <w:lang w:val="es-ES"/>
        </w:rPr>
        <w:t>;</w:t>
      </w:r>
    </w:p>
    <w:p w14:paraId="1C685D1D" w14:textId="7B344949" w:rsidR="005A2EFA" w:rsidRPr="00171D87" w:rsidRDefault="00AE7EB8" w:rsidP="00AE7EB8">
      <w:pPr>
        <w:pStyle w:val="WMOBodyText"/>
        <w:ind w:left="567" w:hanging="567"/>
        <w:rPr>
          <w:lang w:val="es-ES"/>
        </w:rPr>
      </w:pPr>
      <w:r w:rsidRPr="00171D87">
        <w:rPr>
          <w:rFonts w:ascii="Calibri" w:hAnsi="Calibri"/>
          <w:lang w:val="es-ES"/>
        </w:rPr>
        <w:t>-</w:t>
      </w:r>
      <w:r w:rsidRPr="00171D87">
        <w:rPr>
          <w:rFonts w:ascii="Calibri" w:hAnsi="Calibri"/>
          <w:lang w:val="es-ES"/>
        </w:rPr>
        <w:tab/>
      </w:r>
      <w:r w:rsidR="002F06EE" w:rsidRPr="00171D87">
        <w:rPr>
          <w:lang w:val="es-ES"/>
        </w:rPr>
        <w:t>P</w:t>
      </w:r>
      <w:r w:rsidR="005A2EFA" w:rsidRPr="00171D87">
        <w:rPr>
          <w:lang w:val="es-ES"/>
        </w:rPr>
        <w:t xml:space="preserve">rograma </w:t>
      </w:r>
      <w:r w:rsidR="002F06EE" w:rsidRPr="00171D87">
        <w:rPr>
          <w:lang w:val="es-ES"/>
        </w:rPr>
        <w:t>C</w:t>
      </w:r>
      <w:r w:rsidR="005A2EFA" w:rsidRPr="00171D87">
        <w:rPr>
          <w:lang w:val="es-ES"/>
        </w:rPr>
        <w:t xml:space="preserve">onjunto OMS-OMM </w:t>
      </w:r>
      <w:r w:rsidR="00AF0584" w:rsidRPr="00171D87">
        <w:rPr>
          <w:lang w:val="es-ES"/>
        </w:rPr>
        <w:t xml:space="preserve">en materia de </w:t>
      </w:r>
      <w:r w:rsidR="002F06EE" w:rsidRPr="00171D87">
        <w:rPr>
          <w:lang w:val="es-ES"/>
        </w:rPr>
        <w:t>C</w:t>
      </w:r>
      <w:r w:rsidR="005A2EFA" w:rsidRPr="00171D87">
        <w:rPr>
          <w:lang w:val="es-ES"/>
        </w:rPr>
        <w:t xml:space="preserve">lima, </w:t>
      </w:r>
      <w:r w:rsidR="00AF0584" w:rsidRPr="00171D87">
        <w:rPr>
          <w:lang w:val="es-ES"/>
        </w:rPr>
        <w:t>S</w:t>
      </w:r>
      <w:r w:rsidR="005A2EFA" w:rsidRPr="00171D87">
        <w:rPr>
          <w:lang w:val="es-ES"/>
        </w:rPr>
        <w:t xml:space="preserve">alud y </w:t>
      </w:r>
      <w:r w:rsidR="00AF0584" w:rsidRPr="00171D87">
        <w:rPr>
          <w:lang w:val="es-ES"/>
        </w:rPr>
        <w:t>M</w:t>
      </w:r>
      <w:r w:rsidR="005A2EFA" w:rsidRPr="00171D87">
        <w:rPr>
          <w:lang w:val="es-ES"/>
        </w:rPr>
        <w:t>edioambiente.</w:t>
      </w:r>
    </w:p>
    <w:p w14:paraId="6AC8E126" w14:textId="1D21B594" w:rsidR="005A2EFA" w:rsidRPr="00171D87" w:rsidRDefault="005A2EFA" w:rsidP="00AF0584">
      <w:pPr>
        <w:pStyle w:val="WMOBodyText"/>
        <w:tabs>
          <w:tab w:val="left" w:pos="567"/>
        </w:tabs>
        <w:rPr>
          <w:lang w:val="es-ES"/>
        </w:rPr>
      </w:pPr>
      <w:r w:rsidRPr="00171D87">
        <w:rPr>
          <w:lang w:val="es-ES"/>
        </w:rPr>
        <w:t>8.</w:t>
      </w:r>
      <w:r w:rsidRPr="00171D87">
        <w:rPr>
          <w:lang w:val="es-ES"/>
        </w:rPr>
        <w:tab/>
      </w:r>
      <w:r w:rsidR="00D86315" w:rsidRPr="00171D87">
        <w:rPr>
          <w:lang w:val="es-ES"/>
        </w:rPr>
        <w:t>Tras el año de inicio (2023) se sucederán t</w:t>
      </w:r>
      <w:r w:rsidRPr="00171D87">
        <w:rPr>
          <w:lang w:val="es-ES"/>
        </w:rPr>
        <w:t>res fases de ejecución de tres años cada una.</w:t>
      </w:r>
    </w:p>
    <w:p w14:paraId="377250D0" w14:textId="4C99B00E" w:rsidR="005A2EFA" w:rsidRPr="00171D87" w:rsidRDefault="005A2EFA" w:rsidP="00AF0584">
      <w:pPr>
        <w:pStyle w:val="WMOBodyText"/>
        <w:tabs>
          <w:tab w:val="left" w:pos="567"/>
        </w:tabs>
        <w:rPr>
          <w:lang w:val="es-ES"/>
        </w:rPr>
      </w:pPr>
      <w:r w:rsidRPr="00171D87">
        <w:rPr>
          <w:lang w:val="es-ES"/>
        </w:rPr>
        <w:t>9.</w:t>
      </w:r>
      <w:r w:rsidRPr="00171D87">
        <w:rPr>
          <w:lang w:val="es-ES"/>
        </w:rPr>
        <w:tab/>
        <w:t xml:space="preserve">Las actividades de </w:t>
      </w:r>
      <w:r w:rsidR="00BA480B" w:rsidRPr="00171D87">
        <w:rPr>
          <w:lang w:val="es-ES"/>
        </w:rPr>
        <w:t>monitoreo</w:t>
      </w:r>
      <w:r w:rsidRPr="00171D87">
        <w:rPr>
          <w:lang w:val="es-ES"/>
        </w:rPr>
        <w:t xml:space="preserve">, evaluación y aprendizaje servirán de base para un proceso de examen recurrente y se espera que las nuevas actividades y ajustes respondan a las necesidades y los progresos nacionales y regionales. </w:t>
      </w:r>
    </w:p>
    <w:p w14:paraId="37930584" w14:textId="4B24B92E" w:rsidR="005A2EFA" w:rsidRPr="00171D87" w:rsidRDefault="005A2EFA" w:rsidP="00AF0584">
      <w:pPr>
        <w:pStyle w:val="WMOBodyText"/>
        <w:tabs>
          <w:tab w:val="left" w:pos="567"/>
        </w:tabs>
        <w:rPr>
          <w:lang w:val="es-ES"/>
        </w:rPr>
      </w:pPr>
      <w:r w:rsidRPr="00171D87">
        <w:rPr>
          <w:lang w:val="es-ES"/>
        </w:rPr>
        <w:t>10.</w:t>
      </w:r>
      <w:r w:rsidRPr="00171D87">
        <w:rPr>
          <w:lang w:val="es-ES"/>
        </w:rPr>
        <w:tab/>
        <w:t xml:space="preserve">La clave del éxito del </w:t>
      </w:r>
      <w:r w:rsidR="004E2BF2" w:rsidRPr="00171D87">
        <w:rPr>
          <w:lang w:val="es-ES"/>
        </w:rPr>
        <w:t>P</w:t>
      </w:r>
      <w:r w:rsidRPr="00171D87">
        <w:rPr>
          <w:lang w:val="es-ES"/>
        </w:rPr>
        <w:t xml:space="preserve">lan de </w:t>
      </w:r>
      <w:r w:rsidR="004E2BF2" w:rsidRPr="00171D87">
        <w:rPr>
          <w:lang w:val="es-ES"/>
        </w:rPr>
        <w:t>E</w:t>
      </w:r>
      <w:r w:rsidRPr="00171D87">
        <w:rPr>
          <w:lang w:val="es-ES"/>
        </w:rPr>
        <w:t xml:space="preserve">jecución estribará en el aprovechamiento de las alianzas institucionales </w:t>
      </w:r>
      <w:r w:rsidR="00565FD6" w:rsidRPr="00171D87">
        <w:rPr>
          <w:lang w:val="es-ES"/>
        </w:rPr>
        <w:t>actuales</w:t>
      </w:r>
      <w:r w:rsidRPr="00171D87">
        <w:rPr>
          <w:lang w:val="es-ES"/>
        </w:rPr>
        <w:t xml:space="preserve"> y </w:t>
      </w:r>
      <w:r w:rsidR="00DF74B5" w:rsidRPr="00171D87">
        <w:rPr>
          <w:lang w:val="es-ES"/>
        </w:rPr>
        <w:t>las que se forjen en el futuro</w:t>
      </w:r>
      <w:r w:rsidRPr="00171D87">
        <w:rPr>
          <w:lang w:val="es-ES"/>
        </w:rPr>
        <w:t xml:space="preserve">, así como en la movilización conjunta de recursos extrapresupuestarios. </w:t>
      </w:r>
    </w:p>
    <w:p w14:paraId="1E477D82" w14:textId="77777777" w:rsidR="005A2EFA" w:rsidRPr="001B7545" w:rsidRDefault="005A2EFA" w:rsidP="005A2EFA">
      <w:pPr>
        <w:pStyle w:val="WMOBodyText"/>
        <w:jc w:val="center"/>
      </w:pPr>
      <w:r w:rsidRPr="00171D87">
        <w:rPr>
          <w:lang w:val="es-ES"/>
        </w:rPr>
        <w:t>__________________</w:t>
      </w:r>
    </w:p>
    <w:sectPr w:rsidR="005A2EFA" w:rsidRPr="001B7545" w:rsidSect="0020095E">
      <w:headerReference w:type="default" r:id="rId29"/>
      <w:pgSz w:w="11907" w:h="16840" w:code="9"/>
      <w:pgMar w:top="1134" w:right="1134" w:bottom="1134" w:left="1134" w:header="1134" w:footer="113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3E577" w14:textId="77777777" w:rsidR="0077117B" w:rsidRDefault="0077117B">
      <w:r>
        <w:separator/>
      </w:r>
    </w:p>
    <w:p w14:paraId="5636B882" w14:textId="77777777" w:rsidR="0077117B" w:rsidRDefault="0077117B"/>
    <w:p w14:paraId="0C512880" w14:textId="77777777" w:rsidR="0077117B" w:rsidRDefault="0077117B"/>
  </w:endnote>
  <w:endnote w:type="continuationSeparator" w:id="0">
    <w:p w14:paraId="1F760D1B" w14:textId="77777777" w:rsidR="0077117B" w:rsidRDefault="0077117B">
      <w:r>
        <w:continuationSeparator/>
      </w:r>
    </w:p>
    <w:p w14:paraId="0EE191D7" w14:textId="77777777" w:rsidR="0077117B" w:rsidRDefault="0077117B"/>
    <w:p w14:paraId="7EA48E16" w14:textId="77777777" w:rsidR="0077117B" w:rsidRDefault="0077117B"/>
  </w:endnote>
  <w:endnote w:type="continuationNotice" w:id="1">
    <w:p w14:paraId="3B5F7252" w14:textId="77777777" w:rsidR="0077117B" w:rsidRDefault="007711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w:altName w:val="Arial"/>
    <w:charset w:val="00"/>
    <w:family w:val="swiss"/>
    <w:pitch w:val="variable"/>
    <w:sig w:usb0="80000287" w:usb1="00000000" w:usb2="00000000" w:usb3="00000000" w:csb0="0000000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20B0704020202020204"/>
    <w:charset w:val="00"/>
    <w:family w:val="roman"/>
    <w:notTrueType/>
    <w:pitch w:val="default"/>
  </w:font>
  <w:font w:name="FrutigerLTPro-Condensed">
    <w:altName w:val="Yu Gothic"/>
    <w:panose1 w:val="00000000000000000000"/>
    <w:charset w:val="80"/>
    <w:family w:val="swiss"/>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C371D" w14:textId="77777777" w:rsidR="0077117B" w:rsidRDefault="0077117B">
      <w:r>
        <w:separator/>
      </w:r>
    </w:p>
  </w:footnote>
  <w:footnote w:type="continuationSeparator" w:id="0">
    <w:p w14:paraId="2BF1B3F1" w14:textId="77777777" w:rsidR="0077117B" w:rsidRDefault="0077117B">
      <w:r>
        <w:continuationSeparator/>
      </w:r>
    </w:p>
    <w:p w14:paraId="7290F399" w14:textId="77777777" w:rsidR="0077117B" w:rsidRDefault="0077117B"/>
    <w:p w14:paraId="3DDE26A0" w14:textId="77777777" w:rsidR="0077117B" w:rsidRDefault="0077117B"/>
  </w:footnote>
  <w:footnote w:type="continuationNotice" w:id="1">
    <w:p w14:paraId="5B44F618" w14:textId="77777777" w:rsidR="0077117B" w:rsidRDefault="007711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27572" w14:textId="70D68D0B" w:rsidR="007C212A" w:rsidRDefault="00636675" w:rsidP="00290495">
    <w:pPr>
      <w:pStyle w:val="Header"/>
    </w:pPr>
    <w:r>
      <w:rPr>
        <w:lang w:val="es-ES"/>
      </w:rPr>
      <w:t>EC-76</w:t>
    </w:r>
    <w:r w:rsidR="00A41E35" w:rsidRPr="0092449A">
      <w:rPr>
        <w:lang w:val="es-ES"/>
      </w:rPr>
      <w:t>/Doc.</w:t>
    </w:r>
    <w:r w:rsidR="00BD5C33">
      <w:rPr>
        <w:lang w:val="es-ES"/>
      </w:rPr>
      <w:t xml:space="preserve"> </w:t>
    </w:r>
    <w:r>
      <w:rPr>
        <w:lang w:val="es-ES"/>
      </w:rPr>
      <w:t>3.1</w:t>
    </w:r>
    <w:r w:rsidR="004614CB">
      <w:rPr>
        <w:lang w:val="es-ES"/>
      </w:rPr>
      <w:t>(</w:t>
    </w:r>
    <w:r>
      <w:rPr>
        <w:lang w:val="es-ES"/>
      </w:rPr>
      <w:t>15</w:t>
    </w:r>
    <w:r w:rsidR="004614CB">
      <w:rPr>
        <w:lang w:val="es-ES"/>
      </w:rPr>
      <w:t>)</w:t>
    </w:r>
    <w:r w:rsidR="0020095E" w:rsidRPr="0092449A">
      <w:rPr>
        <w:lang w:val="es-ES"/>
      </w:rPr>
      <w:t xml:space="preserve">, </w:t>
    </w:r>
    <w:r>
      <w:rPr>
        <w:lang w:val="es-ES"/>
      </w:rPr>
      <w:t>VERSIÓN 1</w:t>
    </w:r>
    <w:r w:rsidR="0020095E" w:rsidRPr="0092449A">
      <w:rPr>
        <w:lang w:val="es-ES"/>
      </w:rPr>
      <w:t xml:space="preserve">, p. </w:t>
    </w:r>
    <w:r w:rsidR="0020095E" w:rsidRPr="00C2459D">
      <w:rPr>
        <w:rStyle w:val="PageNumber"/>
      </w:rPr>
      <w:fldChar w:fldCharType="begin"/>
    </w:r>
    <w:r w:rsidR="0020095E" w:rsidRPr="0092449A">
      <w:rPr>
        <w:rStyle w:val="PageNumber"/>
        <w:lang w:val="es-ES"/>
      </w:rPr>
      <w:instrText xml:space="preserve"> PAGE </w:instrText>
    </w:r>
    <w:r w:rsidR="0020095E" w:rsidRPr="00C2459D">
      <w:rPr>
        <w:rStyle w:val="PageNumber"/>
      </w:rPr>
      <w:fldChar w:fldCharType="separate"/>
    </w:r>
    <w:r w:rsidR="00B62F03">
      <w:rPr>
        <w:rStyle w:val="PageNumber"/>
        <w:noProof/>
      </w:rPr>
      <w:t>6</w:t>
    </w:r>
    <w:r w:rsidR="0020095E" w:rsidRPr="00C2459D">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55CA92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6D4119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95C74E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91A8EE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5AEDC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1228F6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6D44C2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450A7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8C4594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D2E69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B4D94"/>
    <w:multiLevelType w:val="hybridMultilevel"/>
    <w:tmpl w:val="7C124602"/>
    <w:lvl w:ilvl="0" w:tplc="B38A5EA0">
      <w:start w:val="2"/>
      <w:numFmt w:val="bullet"/>
      <w:lvlText w:val="-"/>
      <w:lvlJc w:val="left"/>
      <w:pPr>
        <w:tabs>
          <w:tab w:val="num" w:pos="2271"/>
        </w:tabs>
        <w:ind w:left="2271" w:hanging="570"/>
      </w:pPr>
      <w:rPr>
        <w:rFonts w:ascii="Arial" w:eastAsia="Arial" w:hAnsi="Arial" w:cs="Arial" w:hint="default"/>
      </w:rPr>
    </w:lvl>
    <w:lvl w:ilvl="1" w:tplc="04190003" w:tentative="1">
      <w:start w:val="1"/>
      <w:numFmt w:val="bullet"/>
      <w:lvlText w:val="o"/>
      <w:lvlJc w:val="left"/>
      <w:pPr>
        <w:tabs>
          <w:tab w:val="num" w:pos="2781"/>
        </w:tabs>
        <w:ind w:left="2781" w:hanging="360"/>
      </w:pPr>
      <w:rPr>
        <w:rFonts w:ascii="Courier New" w:hAnsi="Courier New" w:cs="MS Mincho" w:hint="default"/>
      </w:rPr>
    </w:lvl>
    <w:lvl w:ilvl="2" w:tplc="04190005" w:tentative="1">
      <w:start w:val="1"/>
      <w:numFmt w:val="bullet"/>
      <w:lvlText w:val=""/>
      <w:lvlJc w:val="left"/>
      <w:pPr>
        <w:tabs>
          <w:tab w:val="num" w:pos="3501"/>
        </w:tabs>
        <w:ind w:left="3501" w:hanging="360"/>
      </w:pPr>
      <w:rPr>
        <w:rFonts w:ascii="Wingdings" w:hAnsi="Wingdings" w:hint="default"/>
      </w:rPr>
    </w:lvl>
    <w:lvl w:ilvl="3" w:tplc="04190001" w:tentative="1">
      <w:start w:val="1"/>
      <w:numFmt w:val="bullet"/>
      <w:lvlText w:val=""/>
      <w:lvlJc w:val="left"/>
      <w:pPr>
        <w:tabs>
          <w:tab w:val="num" w:pos="4221"/>
        </w:tabs>
        <w:ind w:left="4221" w:hanging="360"/>
      </w:pPr>
      <w:rPr>
        <w:rFonts w:ascii="Symbol" w:hAnsi="Symbol" w:hint="default"/>
      </w:rPr>
    </w:lvl>
    <w:lvl w:ilvl="4" w:tplc="04190003" w:tentative="1">
      <w:start w:val="1"/>
      <w:numFmt w:val="bullet"/>
      <w:lvlText w:val="o"/>
      <w:lvlJc w:val="left"/>
      <w:pPr>
        <w:tabs>
          <w:tab w:val="num" w:pos="4941"/>
        </w:tabs>
        <w:ind w:left="4941" w:hanging="360"/>
      </w:pPr>
      <w:rPr>
        <w:rFonts w:ascii="Courier New" w:hAnsi="Courier New" w:cs="MS Mincho" w:hint="default"/>
      </w:rPr>
    </w:lvl>
    <w:lvl w:ilvl="5" w:tplc="04190005" w:tentative="1">
      <w:start w:val="1"/>
      <w:numFmt w:val="bullet"/>
      <w:lvlText w:val=""/>
      <w:lvlJc w:val="left"/>
      <w:pPr>
        <w:tabs>
          <w:tab w:val="num" w:pos="5661"/>
        </w:tabs>
        <w:ind w:left="5661" w:hanging="360"/>
      </w:pPr>
      <w:rPr>
        <w:rFonts w:ascii="Wingdings" w:hAnsi="Wingdings" w:hint="default"/>
      </w:rPr>
    </w:lvl>
    <w:lvl w:ilvl="6" w:tplc="04190001" w:tentative="1">
      <w:start w:val="1"/>
      <w:numFmt w:val="bullet"/>
      <w:lvlText w:val=""/>
      <w:lvlJc w:val="left"/>
      <w:pPr>
        <w:tabs>
          <w:tab w:val="num" w:pos="6381"/>
        </w:tabs>
        <w:ind w:left="6381" w:hanging="360"/>
      </w:pPr>
      <w:rPr>
        <w:rFonts w:ascii="Symbol" w:hAnsi="Symbol" w:hint="default"/>
      </w:rPr>
    </w:lvl>
    <w:lvl w:ilvl="7" w:tplc="04190003" w:tentative="1">
      <w:start w:val="1"/>
      <w:numFmt w:val="bullet"/>
      <w:lvlText w:val="o"/>
      <w:lvlJc w:val="left"/>
      <w:pPr>
        <w:tabs>
          <w:tab w:val="num" w:pos="7101"/>
        </w:tabs>
        <w:ind w:left="7101" w:hanging="360"/>
      </w:pPr>
      <w:rPr>
        <w:rFonts w:ascii="Courier New" w:hAnsi="Courier New" w:cs="MS Mincho" w:hint="default"/>
      </w:rPr>
    </w:lvl>
    <w:lvl w:ilvl="8" w:tplc="04190005" w:tentative="1">
      <w:start w:val="1"/>
      <w:numFmt w:val="bullet"/>
      <w:lvlText w:val=""/>
      <w:lvlJc w:val="left"/>
      <w:pPr>
        <w:tabs>
          <w:tab w:val="num" w:pos="7821"/>
        </w:tabs>
        <w:ind w:left="7821" w:hanging="360"/>
      </w:pPr>
      <w:rPr>
        <w:rFonts w:ascii="Wingdings" w:hAnsi="Wingdings" w:hint="default"/>
      </w:rPr>
    </w:lvl>
  </w:abstractNum>
  <w:abstractNum w:abstractNumId="11" w15:restartNumberingAfterBreak="0">
    <w:nsid w:val="08387BD2"/>
    <w:multiLevelType w:val="hybridMultilevel"/>
    <w:tmpl w:val="FADED1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8653072"/>
    <w:multiLevelType w:val="hybridMultilevel"/>
    <w:tmpl w:val="5F98B5B2"/>
    <w:lvl w:ilvl="0" w:tplc="B180137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0BA157DF"/>
    <w:multiLevelType w:val="hybridMultilevel"/>
    <w:tmpl w:val="E63E9576"/>
    <w:lvl w:ilvl="0" w:tplc="BF7C7906">
      <w:start w:val="1"/>
      <w:numFmt w:val="decimal"/>
      <w:lvlText w:val="%1."/>
      <w:lvlJc w:val="left"/>
      <w:pPr>
        <w:tabs>
          <w:tab w:val="num" w:pos="1440"/>
        </w:tabs>
        <w:ind w:left="1440" w:hanging="108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120A3A9D"/>
    <w:multiLevelType w:val="hybridMultilevel"/>
    <w:tmpl w:val="BE96FE06"/>
    <w:lvl w:ilvl="0" w:tplc="3C7E3152">
      <w:start w:val="1"/>
      <w:numFmt w:val="lowerLetter"/>
      <w:lvlText w:val="(%1)"/>
      <w:lvlJc w:val="left"/>
      <w:pPr>
        <w:ind w:left="360" w:hanging="360"/>
      </w:pPr>
      <w:rPr>
        <w:rFonts w:cs="Times New Roman"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1B704B7B"/>
    <w:multiLevelType w:val="hybridMultilevel"/>
    <w:tmpl w:val="D974F67E"/>
    <w:lvl w:ilvl="0" w:tplc="BF7C7906">
      <w:start w:val="1"/>
      <w:numFmt w:val="decimal"/>
      <w:lvlText w:val="%1."/>
      <w:lvlJc w:val="left"/>
      <w:pPr>
        <w:tabs>
          <w:tab w:val="num" w:pos="1440"/>
        </w:tabs>
        <w:ind w:left="1440" w:hanging="10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25E18D4"/>
    <w:multiLevelType w:val="hybridMultilevel"/>
    <w:tmpl w:val="62E2D2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187F76"/>
    <w:multiLevelType w:val="hybridMultilevel"/>
    <w:tmpl w:val="44782832"/>
    <w:lvl w:ilvl="0" w:tplc="FFFFFFFF">
      <w:start w:val="1"/>
      <w:numFmt w:val="decimal"/>
      <w:lvlText w:val="(%1)"/>
      <w:lvlJc w:val="left"/>
      <w:pPr>
        <w:tabs>
          <w:tab w:val="num" w:pos="720"/>
        </w:tabs>
        <w:ind w:left="720" w:hanging="360"/>
      </w:pPr>
      <w:rPr>
        <w:rFonts w:hint="default"/>
      </w:rPr>
    </w:lvl>
    <w:lvl w:ilvl="1" w:tplc="FFFFFFFF" w:tentative="1">
      <w:start w:val="1"/>
      <w:numFmt w:val="bullet"/>
      <w:lvlText w:val="o"/>
      <w:lvlJc w:val="left"/>
      <w:pPr>
        <w:ind w:left="1440" w:hanging="360"/>
      </w:pPr>
      <w:rPr>
        <w:rFonts w:ascii="Courier New" w:hAnsi="Courier New" w:cs="MS Mincho"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MS Mincho"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MS Mincho"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5A55827"/>
    <w:multiLevelType w:val="multilevel"/>
    <w:tmpl w:val="C444E976"/>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b/>
        <w:bCs/>
        <w:i w:val="0"/>
        <w:iCs/>
      </w:rPr>
    </w:lvl>
    <w:lvl w:ilvl="2">
      <w:start w:val="1"/>
      <w:numFmt w:val="decimal"/>
      <w:lvlText w:val="%1.%2.%3"/>
      <w:lvlJc w:val="left"/>
      <w:pPr>
        <w:tabs>
          <w:tab w:val="num" w:pos="5010"/>
        </w:tabs>
        <w:ind w:left="5010" w:hanging="720"/>
      </w:pPr>
      <w:rPr>
        <w:rFonts w:hint="default"/>
        <w:b/>
        <w:i w:val="0"/>
        <w:iCs/>
        <w:color w:val="auto"/>
      </w:rPr>
    </w:lvl>
    <w:lvl w:ilvl="3">
      <w:start w:val="1"/>
      <w:numFmt w:val="lowerLetter"/>
      <w:lvlText w:val="%4."/>
      <w:lvlJc w:val="left"/>
      <w:pPr>
        <w:tabs>
          <w:tab w:val="num" w:pos="360"/>
        </w:tabs>
        <w:ind w:left="36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5E45B11"/>
    <w:multiLevelType w:val="hybridMultilevel"/>
    <w:tmpl w:val="9AECE8FA"/>
    <w:lvl w:ilvl="0" w:tplc="82BAAB3C">
      <w:start w:val="1"/>
      <w:numFmt w:val="decimal"/>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6C626AC"/>
    <w:multiLevelType w:val="hybridMultilevel"/>
    <w:tmpl w:val="8D740D96"/>
    <w:lvl w:ilvl="0" w:tplc="0409000F">
      <w:start w:val="1"/>
      <w:numFmt w:val="decimal"/>
      <w:lvlText w:val="%1."/>
      <w:lvlJc w:val="left"/>
      <w:pPr>
        <w:tabs>
          <w:tab w:val="num" w:pos="777"/>
        </w:tabs>
        <w:ind w:left="777" w:hanging="360"/>
      </w:pPr>
    </w:lvl>
    <w:lvl w:ilvl="1" w:tplc="04090019" w:tentative="1">
      <w:start w:val="1"/>
      <w:numFmt w:val="lowerLetter"/>
      <w:lvlText w:val="%2."/>
      <w:lvlJc w:val="left"/>
      <w:pPr>
        <w:tabs>
          <w:tab w:val="num" w:pos="1497"/>
        </w:tabs>
        <w:ind w:left="1497" w:hanging="360"/>
      </w:pPr>
    </w:lvl>
    <w:lvl w:ilvl="2" w:tplc="0409001B" w:tentative="1">
      <w:start w:val="1"/>
      <w:numFmt w:val="lowerRoman"/>
      <w:lvlText w:val="%3."/>
      <w:lvlJc w:val="right"/>
      <w:pPr>
        <w:tabs>
          <w:tab w:val="num" w:pos="2217"/>
        </w:tabs>
        <w:ind w:left="2217" w:hanging="180"/>
      </w:pPr>
    </w:lvl>
    <w:lvl w:ilvl="3" w:tplc="0409000F" w:tentative="1">
      <w:start w:val="1"/>
      <w:numFmt w:val="decimal"/>
      <w:lvlText w:val="%4."/>
      <w:lvlJc w:val="left"/>
      <w:pPr>
        <w:tabs>
          <w:tab w:val="num" w:pos="2937"/>
        </w:tabs>
        <w:ind w:left="2937" w:hanging="360"/>
      </w:pPr>
    </w:lvl>
    <w:lvl w:ilvl="4" w:tplc="04090019" w:tentative="1">
      <w:start w:val="1"/>
      <w:numFmt w:val="lowerLetter"/>
      <w:lvlText w:val="%5."/>
      <w:lvlJc w:val="left"/>
      <w:pPr>
        <w:tabs>
          <w:tab w:val="num" w:pos="3657"/>
        </w:tabs>
        <w:ind w:left="3657" w:hanging="360"/>
      </w:pPr>
    </w:lvl>
    <w:lvl w:ilvl="5" w:tplc="0409001B" w:tentative="1">
      <w:start w:val="1"/>
      <w:numFmt w:val="lowerRoman"/>
      <w:lvlText w:val="%6."/>
      <w:lvlJc w:val="right"/>
      <w:pPr>
        <w:tabs>
          <w:tab w:val="num" w:pos="4377"/>
        </w:tabs>
        <w:ind w:left="4377" w:hanging="180"/>
      </w:pPr>
    </w:lvl>
    <w:lvl w:ilvl="6" w:tplc="0409000F" w:tentative="1">
      <w:start w:val="1"/>
      <w:numFmt w:val="decimal"/>
      <w:lvlText w:val="%7."/>
      <w:lvlJc w:val="left"/>
      <w:pPr>
        <w:tabs>
          <w:tab w:val="num" w:pos="5097"/>
        </w:tabs>
        <w:ind w:left="5097" w:hanging="360"/>
      </w:pPr>
    </w:lvl>
    <w:lvl w:ilvl="7" w:tplc="04090019" w:tentative="1">
      <w:start w:val="1"/>
      <w:numFmt w:val="lowerLetter"/>
      <w:lvlText w:val="%8."/>
      <w:lvlJc w:val="left"/>
      <w:pPr>
        <w:tabs>
          <w:tab w:val="num" w:pos="5817"/>
        </w:tabs>
        <w:ind w:left="5817" w:hanging="360"/>
      </w:pPr>
    </w:lvl>
    <w:lvl w:ilvl="8" w:tplc="0409001B" w:tentative="1">
      <w:start w:val="1"/>
      <w:numFmt w:val="lowerRoman"/>
      <w:lvlText w:val="%9."/>
      <w:lvlJc w:val="right"/>
      <w:pPr>
        <w:tabs>
          <w:tab w:val="num" w:pos="6537"/>
        </w:tabs>
        <w:ind w:left="6537" w:hanging="180"/>
      </w:pPr>
    </w:lvl>
  </w:abstractNum>
  <w:abstractNum w:abstractNumId="21" w15:restartNumberingAfterBreak="0">
    <w:nsid w:val="27B16F14"/>
    <w:multiLevelType w:val="multilevel"/>
    <w:tmpl w:val="3760B77A"/>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b/>
        <w:bCs/>
        <w:i w:val="0"/>
        <w:iCs/>
      </w:rPr>
    </w:lvl>
    <w:lvl w:ilvl="2">
      <w:start w:val="1"/>
      <w:numFmt w:val="decimal"/>
      <w:lvlText w:val="X.1.%3"/>
      <w:lvlJc w:val="left"/>
      <w:pPr>
        <w:tabs>
          <w:tab w:val="num" w:pos="5010"/>
        </w:tabs>
        <w:ind w:left="5010" w:hanging="720"/>
      </w:pPr>
      <w:rPr>
        <w:rFonts w:hint="default"/>
        <w:b/>
        <w:i w:val="0"/>
        <w:iCs/>
        <w:color w:val="auto"/>
      </w:rPr>
    </w:lvl>
    <w:lvl w:ilvl="3">
      <w:start w:val="1"/>
      <w:numFmt w:val="lowerLetter"/>
      <w:lvlText w:val="%4."/>
      <w:lvlJc w:val="left"/>
      <w:pPr>
        <w:tabs>
          <w:tab w:val="num" w:pos="360"/>
        </w:tabs>
        <w:ind w:left="36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2A280CB1"/>
    <w:multiLevelType w:val="hybridMultilevel"/>
    <w:tmpl w:val="2468F01C"/>
    <w:lvl w:ilvl="0" w:tplc="04090001">
      <w:start w:val="1"/>
      <w:numFmt w:val="bullet"/>
      <w:lvlText w:val=""/>
      <w:lvlJc w:val="left"/>
      <w:pPr>
        <w:tabs>
          <w:tab w:val="num" w:pos="770"/>
        </w:tabs>
        <w:ind w:left="770" w:hanging="360"/>
      </w:pPr>
      <w:rPr>
        <w:rFonts w:ascii="Symbol" w:hAnsi="Symbol" w:hint="default"/>
      </w:rPr>
    </w:lvl>
    <w:lvl w:ilvl="1" w:tplc="04090003" w:tentative="1">
      <w:start w:val="1"/>
      <w:numFmt w:val="bullet"/>
      <w:lvlText w:val="o"/>
      <w:lvlJc w:val="left"/>
      <w:pPr>
        <w:tabs>
          <w:tab w:val="num" w:pos="1490"/>
        </w:tabs>
        <w:ind w:left="1490" w:hanging="360"/>
      </w:pPr>
      <w:rPr>
        <w:rFonts w:ascii="Courier New" w:hAnsi="Courier New" w:cs="MS Mincho" w:hint="default"/>
      </w:rPr>
    </w:lvl>
    <w:lvl w:ilvl="2" w:tplc="04090005" w:tentative="1">
      <w:start w:val="1"/>
      <w:numFmt w:val="bullet"/>
      <w:lvlText w:val=""/>
      <w:lvlJc w:val="left"/>
      <w:pPr>
        <w:tabs>
          <w:tab w:val="num" w:pos="2210"/>
        </w:tabs>
        <w:ind w:left="2210" w:hanging="360"/>
      </w:pPr>
      <w:rPr>
        <w:rFonts w:ascii="Wingdings" w:hAnsi="Wingdings" w:hint="default"/>
      </w:rPr>
    </w:lvl>
    <w:lvl w:ilvl="3" w:tplc="04090001" w:tentative="1">
      <w:start w:val="1"/>
      <w:numFmt w:val="bullet"/>
      <w:lvlText w:val=""/>
      <w:lvlJc w:val="left"/>
      <w:pPr>
        <w:tabs>
          <w:tab w:val="num" w:pos="2930"/>
        </w:tabs>
        <w:ind w:left="2930" w:hanging="360"/>
      </w:pPr>
      <w:rPr>
        <w:rFonts w:ascii="Symbol" w:hAnsi="Symbol" w:hint="default"/>
      </w:rPr>
    </w:lvl>
    <w:lvl w:ilvl="4" w:tplc="04090003" w:tentative="1">
      <w:start w:val="1"/>
      <w:numFmt w:val="bullet"/>
      <w:lvlText w:val="o"/>
      <w:lvlJc w:val="left"/>
      <w:pPr>
        <w:tabs>
          <w:tab w:val="num" w:pos="3650"/>
        </w:tabs>
        <w:ind w:left="3650" w:hanging="360"/>
      </w:pPr>
      <w:rPr>
        <w:rFonts w:ascii="Courier New" w:hAnsi="Courier New" w:cs="MS Mincho" w:hint="default"/>
      </w:rPr>
    </w:lvl>
    <w:lvl w:ilvl="5" w:tplc="04090005" w:tentative="1">
      <w:start w:val="1"/>
      <w:numFmt w:val="bullet"/>
      <w:lvlText w:val=""/>
      <w:lvlJc w:val="left"/>
      <w:pPr>
        <w:tabs>
          <w:tab w:val="num" w:pos="4370"/>
        </w:tabs>
        <w:ind w:left="4370" w:hanging="360"/>
      </w:pPr>
      <w:rPr>
        <w:rFonts w:ascii="Wingdings" w:hAnsi="Wingdings" w:hint="default"/>
      </w:rPr>
    </w:lvl>
    <w:lvl w:ilvl="6" w:tplc="04090001" w:tentative="1">
      <w:start w:val="1"/>
      <w:numFmt w:val="bullet"/>
      <w:lvlText w:val=""/>
      <w:lvlJc w:val="left"/>
      <w:pPr>
        <w:tabs>
          <w:tab w:val="num" w:pos="5090"/>
        </w:tabs>
        <w:ind w:left="5090" w:hanging="360"/>
      </w:pPr>
      <w:rPr>
        <w:rFonts w:ascii="Symbol" w:hAnsi="Symbol" w:hint="default"/>
      </w:rPr>
    </w:lvl>
    <w:lvl w:ilvl="7" w:tplc="04090003" w:tentative="1">
      <w:start w:val="1"/>
      <w:numFmt w:val="bullet"/>
      <w:lvlText w:val="o"/>
      <w:lvlJc w:val="left"/>
      <w:pPr>
        <w:tabs>
          <w:tab w:val="num" w:pos="5810"/>
        </w:tabs>
        <w:ind w:left="5810" w:hanging="360"/>
      </w:pPr>
      <w:rPr>
        <w:rFonts w:ascii="Courier New" w:hAnsi="Courier New" w:cs="MS Mincho" w:hint="default"/>
      </w:rPr>
    </w:lvl>
    <w:lvl w:ilvl="8" w:tplc="04090005" w:tentative="1">
      <w:start w:val="1"/>
      <w:numFmt w:val="bullet"/>
      <w:lvlText w:val=""/>
      <w:lvlJc w:val="left"/>
      <w:pPr>
        <w:tabs>
          <w:tab w:val="num" w:pos="6530"/>
        </w:tabs>
        <w:ind w:left="6530" w:hanging="360"/>
      </w:pPr>
      <w:rPr>
        <w:rFonts w:ascii="Wingdings" w:hAnsi="Wingdings" w:hint="default"/>
      </w:rPr>
    </w:lvl>
  </w:abstractNum>
  <w:abstractNum w:abstractNumId="23" w15:restartNumberingAfterBreak="0">
    <w:nsid w:val="2BC60D83"/>
    <w:multiLevelType w:val="multilevel"/>
    <w:tmpl w:val="F81498B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2D4A2043"/>
    <w:multiLevelType w:val="hybridMultilevel"/>
    <w:tmpl w:val="E60E3380"/>
    <w:lvl w:ilvl="0" w:tplc="3C7E3152">
      <w:start w:val="1"/>
      <w:numFmt w:val="lowerLetter"/>
      <w:lvlText w:val="(%1)"/>
      <w:lvlJc w:val="left"/>
      <w:pPr>
        <w:ind w:left="360" w:hanging="360"/>
      </w:pPr>
      <w:rPr>
        <w:rFonts w:cs="Times New Roman"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2DA12EC1"/>
    <w:multiLevelType w:val="hybridMultilevel"/>
    <w:tmpl w:val="28D49B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33F259F"/>
    <w:multiLevelType w:val="hybridMultilevel"/>
    <w:tmpl w:val="EFBEFC76"/>
    <w:lvl w:ilvl="0" w:tplc="3C7E3152">
      <w:start w:val="1"/>
      <w:numFmt w:val="lowerLetter"/>
      <w:lvlText w:val="(%1)"/>
      <w:lvlJc w:val="left"/>
      <w:pPr>
        <w:ind w:left="360" w:hanging="360"/>
      </w:pPr>
      <w:rPr>
        <w:rFonts w:cs="Times New Roman"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36FC1CD9"/>
    <w:multiLevelType w:val="multilevel"/>
    <w:tmpl w:val="3760B77A"/>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b/>
        <w:bCs/>
        <w:i w:val="0"/>
        <w:iCs/>
      </w:rPr>
    </w:lvl>
    <w:lvl w:ilvl="2">
      <w:start w:val="1"/>
      <w:numFmt w:val="decimal"/>
      <w:lvlText w:val="X.1.%3"/>
      <w:lvlJc w:val="left"/>
      <w:pPr>
        <w:tabs>
          <w:tab w:val="num" w:pos="5010"/>
        </w:tabs>
        <w:ind w:left="5010" w:hanging="720"/>
      </w:pPr>
      <w:rPr>
        <w:rFonts w:hint="default"/>
        <w:b/>
        <w:i w:val="0"/>
        <w:iCs/>
        <w:color w:val="auto"/>
      </w:rPr>
    </w:lvl>
    <w:lvl w:ilvl="3">
      <w:start w:val="1"/>
      <w:numFmt w:val="lowerLetter"/>
      <w:lvlText w:val="%4."/>
      <w:lvlJc w:val="left"/>
      <w:pPr>
        <w:tabs>
          <w:tab w:val="num" w:pos="360"/>
        </w:tabs>
        <w:ind w:left="36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3F026439"/>
    <w:multiLevelType w:val="hybridMultilevel"/>
    <w:tmpl w:val="42D2BD44"/>
    <w:lvl w:ilvl="0" w:tplc="797C27D0">
      <w:start w:val="1"/>
      <w:numFmt w:val="decimal"/>
      <w:lvlText w:val="(%1)"/>
      <w:lvlJc w:val="left"/>
      <w:pPr>
        <w:ind w:left="720" w:hanging="360"/>
      </w:pPr>
      <w:rPr>
        <w:rFonts w:hint="default"/>
      </w:rPr>
    </w:lvl>
    <w:lvl w:ilvl="1" w:tplc="5196696A">
      <w:start w:val="1"/>
      <w:numFmt w:val="lowerRoman"/>
      <w:lvlText w:val="(%2)"/>
      <w:lvlJc w:val="left"/>
      <w:pPr>
        <w:ind w:left="2220" w:hanging="11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49C667C"/>
    <w:multiLevelType w:val="hybridMultilevel"/>
    <w:tmpl w:val="8974B1B6"/>
    <w:lvl w:ilvl="0" w:tplc="EE640F8A">
      <w:start w:val="1"/>
      <w:numFmt w:val="bullet"/>
      <w:lvlText w:val=""/>
      <w:lvlJc w:val="left"/>
      <w:pPr>
        <w:tabs>
          <w:tab w:val="num" w:pos="644"/>
        </w:tabs>
        <w:ind w:left="567" w:hanging="283"/>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6EA4781"/>
    <w:multiLevelType w:val="multilevel"/>
    <w:tmpl w:val="3760B77A"/>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b/>
        <w:bCs/>
        <w:i w:val="0"/>
        <w:iCs/>
      </w:rPr>
    </w:lvl>
    <w:lvl w:ilvl="2">
      <w:start w:val="1"/>
      <w:numFmt w:val="decimal"/>
      <w:lvlText w:val="X.1.%3"/>
      <w:lvlJc w:val="left"/>
      <w:pPr>
        <w:tabs>
          <w:tab w:val="num" w:pos="5010"/>
        </w:tabs>
        <w:ind w:left="5010" w:hanging="720"/>
      </w:pPr>
      <w:rPr>
        <w:rFonts w:hint="default"/>
        <w:b/>
        <w:i w:val="0"/>
        <w:iCs/>
        <w:color w:val="auto"/>
      </w:rPr>
    </w:lvl>
    <w:lvl w:ilvl="3">
      <w:start w:val="1"/>
      <w:numFmt w:val="lowerLetter"/>
      <w:lvlText w:val="%4."/>
      <w:lvlJc w:val="left"/>
      <w:pPr>
        <w:tabs>
          <w:tab w:val="num" w:pos="360"/>
        </w:tabs>
        <w:ind w:left="36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8760E7D"/>
    <w:multiLevelType w:val="hybridMultilevel"/>
    <w:tmpl w:val="21226E44"/>
    <w:lvl w:ilvl="0" w:tplc="B180137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4CDB3222"/>
    <w:multiLevelType w:val="hybridMultilevel"/>
    <w:tmpl w:val="9D8A5304"/>
    <w:lvl w:ilvl="0" w:tplc="B1801378">
      <w:start w:val="1"/>
      <w:numFmt w:val="decimal"/>
      <w:lvlText w:val="%1."/>
      <w:lvlJc w:val="left"/>
      <w:pPr>
        <w:tabs>
          <w:tab w:val="num" w:pos="720"/>
        </w:tabs>
        <w:ind w:left="720" w:hanging="360"/>
      </w:pPr>
      <w:rPr>
        <w:rFonts w:hint="default"/>
      </w:rPr>
    </w:lvl>
    <w:lvl w:ilvl="1" w:tplc="3C7E3152">
      <w:start w:val="1"/>
      <w:numFmt w:val="lowerLetter"/>
      <w:lvlText w:val="(%2)"/>
      <w:lvlJc w:val="left"/>
      <w:pPr>
        <w:ind w:left="1440" w:hanging="360"/>
      </w:pPr>
      <w:rPr>
        <w:rFonts w:cs="Times New Roman" w:hint="default"/>
        <w:b w:val="0"/>
        <w:bCs w:val="0"/>
        <w:i w:val="0"/>
        <w:iCs w:val="0"/>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4F2D3592"/>
    <w:multiLevelType w:val="multilevel"/>
    <w:tmpl w:val="FEB4DF5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50D54EFE"/>
    <w:multiLevelType w:val="multilevel"/>
    <w:tmpl w:val="9F7A7A90"/>
    <w:lvl w:ilvl="0">
      <w:start w:val="1"/>
      <w:numFmt w:val="lowerLetter"/>
      <w:lvlText w:val="(%1)"/>
      <w:lvlJc w:val="left"/>
      <w:pPr>
        <w:ind w:left="360" w:hanging="360"/>
      </w:pPr>
      <w:rPr>
        <w:rFonts w:cs="Times New Roman" w:hint="default"/>
        <w:b w:val="0"/>
        <w:bCs w:val="0"/>
        <w:i w:val="0"/>
        <w:iCs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5565ED03"/>
    <w:multiLevelType w:val="hybridMultilevel"/>
    <w:tmpl w:val="6346FA98"/>
    <w:lvl w:ilvl="0" w:tplc="51B4F6FE">
      <w:start w:val="1"/>
      <w:numFmt w:val="bullet"/>
      <w:lvlText w:val="-"/>
      <w:lvlJc w:val="left"/>
      <w:pPr>
        <w:ind w:left="720" w:hanging="360"/>
      </w:pPr>
      <w:rPr>
        <w:rFonts w:ascii="Calibri" w:hAnsi="Calibri" w:hint="default"/>
      </w:rPr>
    </w:lvl>
    <w:lvl w:ilvl="1" w:tplc="1C90418C">
      <w:start w:val="1"/>
      <w:numFmt w:val="bullet"/>
      <w:lvlText w:val="o"/>
      <w:lvlJc w:val="left"/>
      <w:pPr>
        <w:ind w:left="1440" w:hanging="360"/>
      </w:pPr>
      <w:rPr>
        <w:rFonts w:ascii="Courier New" w:hAnsi="Courier New" w:hint="default"/>
      </w:rPr>
    </w:lvl>
    <w:lvl w:ilvl="2" w:tplc="0E1E0646">
      <w:start w:val="1"/>
      <w:numFmt w:val="bullet"/>
      <w:lvlText w:val=""/>
      <w:lvlJc w:val="left"/>
      <w:pPr>
        <w:ind w:left="2160" w:hanging="360"/>
      </w:pPr>
      <w:rPr>
        <w:rFonts w:ascii="Wingdings" w:hAnsi="Wingdings" w:hint="default"/>
      </w:rPr>
    </w:lvl>
    <w:lvl w:ilvl="3" w:tplc="0A42FAFE">
      <w:start w:val="1"/>
      <w:numFmt w:val="bullet"/>
      <w:lvlText w:val=""/>
      <w:lvlJc w:val="left"/>
      <w:pPr>
        <w:ind w:left="2880" w:hanging="360"/>
      </w:pPr>
      <w:rPr>
        <w:rFonts w:ascii="Symbol" w:hAnsi="Symbol" w:hint="default"/>
      </w:rPr>
    </w:lvl>
    <w:lvl w:ilvl="4" w:tplc="884C3AD6">
      <w:start w:val="1"/>
      <w:numFmt w:val="bullet"/>
      <w:lvlText w:val="o"/>
      <w:lvlJc w:val="left"/>
      <w:pPr>
        <w:ind w:left="3600" w:hanging="360"/>
      </w:pPr>
      <w:rPr>
        <w:rFonts w:ascii="Courier New" w:hAnsi="Courier New" w:hint="default"/>
      </w:rPr>
    </w:lvl>
    <w:lvl w:ilvl="5" w:tplc="889C6508">
      <w:start w:val="1"/>
      <w:numFmt w:val="bullet"/>
      <w:lvlText w:val=""/>
      <w:lvlJc w:val="left"/>
      <w:pPr>
        <w:ind w:left="4320" w:hanging="360"/>
      </w:pPr>
      <w:rPr>
        <w:rFonts w:ascii="Wingdings" w:hAnsi="Wingdings" w:hint="default"/>
      </w:rPr>
    </w:lvl>
    <w:lvl w:ilvl="6" w:tplc="83D612F8">
      <w:start w:val="1"/>
      <w:numFmt w:val="bullet"/>
      <w:lvlText w:val=""/>
      <w:lvlJc w:val="left"/>
      <w:pPr>
        <w:ind w:left="5040" w:hanging="360"/>
      </w:pPr>
      <w:rPr>
        <w:rFonts w:ascii="Symbol" w:hAnsi="Symbol" w:hint="default"/>
      </w:rPr>
    </w:lvl>
    <w:lvl w:ilvl="7" w:tplc="226839A4">
      <w:start w:val="1"/>
      <w:numFmt w:val="bullet"/>
      <w:lvlText w:val="o"/>
      <w:lvlJc w:val="left"/>
      <w:pPr>
        <w:ind w:left="5760" w:hanging="360"/>
      </w:pPr>
      <w:rPr>
        <w:rFonts w:ascii="Courier New" w:hAnsi="Courier New" w:hint="default"/>
      </w:rPr>
    </w:lvl>
    <w:lvl w:ilvl="8" w:tplc="CBEE05D0">
      <w:start w:val="1"/>
      <w:numFmt w:val="bullet"/>
      <w:lvlText w:val=""/>
      <w:lvlJc w:val="left"/>
      <w:pPr>
        <w:ind w:left="6480" w:hanging="360"/>
      </w:pPr>
      <w:rPr>
        <w:rFonts w:ascii="Wingdings" w:hAnsi="Wingdings" w:hint="default"/>
      </w:rPr>
    </w:lvl>
  </w:abstractNum>
  <w:abstractNum w:abstractNumId="36" w15:restartNumberingAfterBreak="0">
    <w:nsid w:val="572B6062"/>
    <w:multiLevelType w:val="hybridMultilevel"/>
    <w:tmpl w:val="20666EAC"/>
    <w:lvl w:ilvl="0" w:tplc="BBECDEBE">
      <w:start w:val="1"/>
      <w:numFmt w:val="lowerLetter"/>
      <w:lvlText w:val="(%1)"/>
      <w:lvlJc w:val="left"/>
      <w:pPr>
        <w:tabs>
          <w:tab w:val="num" w:pos="1125"/>
        </w:tabs>
        <w:ind w:left="1125" w:hanging="1005"/>
      </w:pPr>
      <w:rPr>
        <w:rFonts w:hint="default"/>
      </w:rPr>
    </w:lvl>
    <w:lvl w:ilvl="1" w:tplc="04090019" w:tentative="1">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37" w15:restartNumberingAfterBreak="0">
    <w:nsid w:val="5C6F451C"/>
    <w:multiLevelType w:val="hybridMultilevel"/>
    <w:tmpl w:val="106AFE40"/>
    <w:lvl w:ilvl="0" w:tplc="FFFFFFFF">
      <w:start w:val="1"/>
      <w:numFmt w:val="decimal"/>
      <w:lvlText w:val="%1."/>
      <w:lvlJc w:val="left"/>
      <w:pPr>
        <w:tabs>
          <w:tab w:val="num" w:pos="890"/>
        </w:tabs>
        <w:ind w:left="89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61E60BA3"/>
    <w:multiLevelType w:val="multilevel"/>
    <w:tmpl w:val="315ACC9C"/>
    <w:lvl w:ilvl="0">
      <w:start w:val="1"/>
      <w:numFmt w:val="lowerLetter"/>
      <w:lvlText w:val="(%1)"/>
      <w:lvlJc w:val="left"/>
      <w:pPr>
        <w:ind w:left="360" w:hanging="360"/>
      </w:pPr>
      <w:rPr>
        <w:rFonts w:cs="Times New Roman" w:hint="default"/>
        <w:b w:val="0"/>
        <w:bCs w:val="0"/>
        <w:i w:val="0"/>
        <w:iCs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61F07044"/>
    <w:multiLevelType w:val="hybridMultilevel"/>
    <w:tmpl w:val="4C76DEBE"/>
    <w:lvl w:ilvl="0" w:tplc="9CA035CE">
      <w:start w:val="1"/>
      <w:numFmt w:val="lowerLetter"/>
      <w:lvlText w:val="(%1)"/>
      <w:lvlJc w:val="left"/>
      <w:pPr>
        <w:ind w:left="1128" w:hanging="84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0" w15:restartNumberingAfterBreak="0">
    <w:nsid w:val="66B742B0"/>
    <w:multiLevelType w:val="hybridMultilevel"/>
    <w:tmpl w:val="315ACC9C"/>
    <w:lvl w:ilvl="0" w:tplc="3C7E3152">
      <w:start w:val="1"/>
      <w:numFmt w:val="lowerLetter"/>
      <w:lvlText w:val="(%1)"/>
      <w:lvlJc w:val="left"/>
      <w:pPr>
        <w:ind w:left="360" w:hanging="360"/>
      </w:pPr>
      <w:rPr>
        <w:rFonts w:cs="Times New Roman"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15:restartNumberingAfterBreak="0">
    <w:nsid w:val="69FC4442"/>
    <w:multiLevelType w:val="hybridMultilevel"/>
    <w:tmpl w:val="CA5807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CD27E05"/>
    <w:multiLevelType w:val="hybridMultilevel"/>
    <w:tmpl w:val="D876D326"/>
    <w:lvl w:ilvl="0" w:tplc="05863676">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3" w15:restartNumberingAfterBreak="0">
    <w:nsid w:val="6FE02364"/>
    <w:multiLevelType w:val="hybridMultilevel"/>
    <w:tmpl w:val="806C1F56"/>
    <w:lvl w:ilvl="0" w:tplc="8C065970">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12B3EDB"/>
    <w:multiLevelType w:val="hybridMultilevel"/>
    <w:tmpl w:val="59707F4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751C124D"/>
    <w:multiLevelType w:val="hybridMultilevel"/>
    <w:tmpl w:val="465EDB06"/>
    <w:lvl w:ilvl="0" w:tplc="B1801378">
      <w:start w:val="1"/>
      <w:numFmt w:val="decimal"/>
      <w:lvlText w:val="%1."/>
      <w:lvlJc w:val="left"/>
      <w:pPr>
        <w:tabs>
          <w:tab w:val="num" w:pos="360"/>
        </w:tabs>
        <w:ind w:left="360" w:hanging="360"/>
      </w:pPr>
      <w:rPr>
        <w:rFonts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15:restartNumberingAfterBreak="0">
    <w:nsid w:val="79213F93"/>
    <w:multiLevelType w:val="hybridMultilevel"/>
    <w:tmpl w:val="7FD6BE74"/>
    <w:lvl w:ilvl="0" w:tplc="F918D5EC">
      <w:start w:val="1"/>
      <w:numFmt w:val="decimal"/>
      <w:lvlText w:val="%1."/>
      <w:lvlJc w:val="left"/>
      <w:pPr>
        <w:ind w:left="720" w:hanging="360"/>
      </w:pPr>
      <w:rPr>
        <w:rFonts w:ascii="Verdana" w:eastAsia="Verdana" w:hAnsi="Verdana" w:cs="Verdana"/>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DF62758"/>
    <w:multiLevelType w:val="hybridMultilevel"/>
    <w:tmpl w:val="C0D667DA"/>
    <w:lvl w:ilvl="0" w:tplc="AD4CE0F6">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7EF306A9"/>
    <w:multiLevelType w:val="hybridMultilevel"/>
    <w:tmpl w:val="9D30BFA0"/>
    <w:lvl w:ilvl="0" w:tplc="FFFFFFFF">
      <w:start w:val="1"/>
      <w:numFmt w:val="upperLetter"/>
      <w:lvlText w:val="%1."/>
      <w:lvlJc w:val="left"/>
      <w:pPr>
        <w:tabs>
          <w:tab w:val="num" w:pos="1080"/>
        </w:tabs>
        <w:ind w:left="1080" w:hanging="720"/>
      </w:pPr>
      <w:rPr>
        <w:rFonts w:cs="Arial" w:hint="default"/>
        <w:b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97768273">
    <w:abstractNumId w:val="29"/>
  </w:num>
  <w:num w:numId="2" w16cid:durableId="1512833131">
    <w:abstractNumId w:val="48"/>
  </w:num>
  <w:num w:numId="3" w16cid:durableId="254680148">
    <w:abstractNumId w:val="27"/>
  </w:num>
  <w:num w:numId="4" w16cid:durableId="153030648">
    <w:abstractNumId w:val="37"/>
  </w:num>
  <w:num w:numId="5" w16cid:durableId="801339578">
    <w:abstractNumId w:val="17"/>
  </w:num>
  <w:num w:numId="6" w16cid:durableId="282926757">
    <w:abstractNumId w:val="22"/>
  </w:num>
  <w:num w:numId="7" w16cid:durableId="1600798568">
    <w:abstractNumId w:val="18"/>
  </w:num>
  <w:num w:numId="8" w16cid:durableId="668563711">
    <w:abstractNumId w:val="30"/>
  </w:num>
  <w:num w:numId="9" w16cid:durableId="689834855">
    <w:abstractNumId w:val="21"/>
  </w:num>
  <w:num w:numId="10" w16cid:durableId="1870022786">
    <w:abstractNumId w:val="20"/>
  </w:num>
  <w:num w:numId="11" w16cid:durableId="1434283952">
    <w:abstractNumId w:val="36"/>
  </w:num>
  <w:num w:numId="12" w16cid:durableId="1500999998">
    <w:abstractNumId w:val="11"/>
  </w:num>
  <w:num w:numId="13" w16cid:durableId="562520252">
    <w:abstractNumId w:val="25"/>
  </w:num>
  <w:num w:numId="14" w16cid:durableId="2043482751">
    <w:abstractNumId w:val="41"/>
  </w:num>
  <w:num w:numId="15" w16cid:durableId="255526634">
    <w:abstractNumId w:val="19"/>
  </w:num>
  <w:num w:numId="16" w16cid:durableId="1777093584">
    <w:abstractNumId w:val="9"/>
  </w:num>
  <w:num w:numId="17" w16cid:durableId="1645088064">
    <w:abstractNumId w:val="7"/>
  </w:num>
  <w:num w:numId="18" w16cid:durableId="1117748840">
    <w:abstractNumId w:val="6"/>
  </w:num>
  <w:num w:numId="19" w16cid:durableId="766802745">
    <w:abstractNumId w:val="5"/>
  </w:num>
  <w:num w:numId="20" w16cid:durableId="802040451">
    <w:abstractNumId w:val="4"/>
  </w:num>
  <w:num w:numId="21" w16cid:durableId="76942821">
    <w:abstractNumId w:val="8"/>
  </w:num>
  <w:num w:numId="22" w16cid:durableId="418452065">
    <w:abstractNumId w:val="3"/>
  </w:num>
  <w:num w:numId="23" w16cid:durableId="2029406277">
    <w:abstractNumId w:val="2"/>
  </w:num>
  <w:num w:numId="24" w16cid:durableId="2081437185">
    <w:abstractNumId w:val="1"/>
  </w:num>
  <w:num w:numId="25" w16cid:durableId="602105232">
    <w:abstractNumId w:val="0"/>
  </w:num>
  <w:num w:numId="26" w16cid:durableId="695355206">
    <w:abstractNumId w:val="44"/>
  </w:num>
  <w:num w:numId="27" w16cid:durableId="145362764">
    <w:abstractNumId w:val="31"/>
  </w:num>
  <w:num w:numId="28" w16cid:durableId="1526553467">
    <w:abstractNumId w:val="23"/>
  </w:num>
  <w:num w:numId="29" w16cid:durableId="1336684835">
    <w:abstractNumId w:val="32"/>
  </w:num>
  <w:num w:numId="30" w16cid:durableId="1461457869">
    <w:abstractNumId w:val="33"/>
  </w:num>
  <w:num w:numId="31" w16cid:durableId="439108847">
    <w:abstractNumId w:val="14"/>
  </w:num>
  <w:num w:numId="32" w16cid:durableId="1610509765">
    <w:abstractNumId w:val="40"/>
  </w:num>
  <w:num w:numId="33" w16cid:durableId="1236818746">
    <w:abstractNumId w:val="38"/>
  </w:num>
  <w:num w:numId="34" w16cid:durableId="1971210034">
    <w:abstractNumId w:val="24"/>
  </w:num>
  <w:num w:numId="35" w16cid:durableId="325983070">
    <w:abstractNumId w:val="26"/>
  </w:num>
  <w:num w:numId="36" w16cid:durableId="315843783">
    <w:abstractNumId w:val="45"/>
  </w:num>
  <w:num w:numId="37" w16cid:durableId="833687894">
    <w:abstractNumId w:val="34"/>
  </w:num>
  <w:num w:numId="38" w16cid:durableId="863327736">
    <w:abstractNumId w:val="12"/>
  </w:num>
  <w:num w:numId="39" w16cid:durableId="656612459">
    <w:abstractNumId w:val="13"/>
  </w:num>
  <w:num w:numId="40" w16cid:durableId="1442840827">
    <w:abstractNumId w:val="15"/>
  </w:num>
  <w:num w:numId="41" w16cid:durableId="1551452198">
    <w:abstractNumId w:val="10"/>
  </w:num>
  <w:num w:numId="42" w16cid:durableId="82457785">
    <w:abstractNumId w:val="43"/>
  </w:num>
  <w:num w:numId="43" w16cid:durableId="713037970">
    <w:abstractNumId w:val="16"/>
  </w:num>
  <w:num w:numId="44" w16cid:durableId="125127130">
    <w:abstractNumId w:val="28"/>
  </w:num>
  <w:num w:numId="45" w16cid:durableId="101922766">
    <w:abstractNumId w:val="39"/>
  </w:num>
  <w:num w:numId="46" w16cid:durableId="1028488719">
    <w:abstractNumId w:val="47"/>
  </w:num>
  <w:num w:numId="47" w16cid:durableId="415713286">
    <w:abstractNumId w:val="35"/>
  </w:num>
  <w:num w:numId="48" w16cid:durableId="1944920100">
    <w:abstractNumId w:val="42"/>
  </w:num>
  <w:num w:numId="49" w16cid:durableId="1195844351">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1134"/>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828"/>
    <w:rsid w:val="00011130"/>
    <w:rsid w:val="00012478"/>
    <w:rsid w:val="0001558A"/>
    <w:rsid w:val="000206A8"/>
    <w:rsid w:val="0003137A"/>
    <w:rsid w:val="00032E6C"/>
    <w:rsid w:val="00041171"/>
    <w:rsid w:val="00041727"/>
    <w:rsid w:val="0004226F"/>
    <w:rsid w:val="0004247E"/>
    <w:rsid w:val="00047607"/>
    <w:rsid w:val="00050F8E"/>
    <w:rsid w:val="000573AD"/>
    <w:rsid w:val="00064F6B"/>
    <w:rsid w:val="00066EEC"/>
    <w:rsid w:val="000720B2"/>
    <w:rsid w:val="00072F17"/>
    <w:rsid w:val="00073920"/>
    <w:rsid w:val="000806D8"/>
    <w:rsid w:val="00082C80"/>
    <w:rsid w:val="00083847"/>
    <w:rsid w:val="00083C36"/>
    <w:rsid w:val="000850FC"/>
    <w:rsid w:val="000938FB"/>
    <w:rsid w:val="00095E48"/>
    <w:rsid w:val="000A272A"/>
    <w:rsid w:val="000A69BF"/>
    <w:rsid w:val="000B1CC3"/>
    <w:rsid w:val="000B4566"/>
    <w:rsid w:val="000C225A"/>
    <w:rsid w:val="000C6781"/>
    <w:rsid w:val="000E4AB7"/>
    <w:rsid w:val="000F5E49"/>
    <w:rsid w:val="000F7A87"/>
    <w:rsid w:val="00105D2E"/>
    <w:rsid w:val="00111BFD"/>
    <w:rsid w:val="00113F77"/>
    <w:rsid w:val="0011498B"/>
    <w:rsid w:val="00120147"/>
    <w:rsid w:val="00123140"/>
    <w:rsid w:val="00123D94"/>
    <w:rsid w:val="0013372E"/>
    <w:rsid w:val="00143B96"/>
    <w:rsid w:val="001501C2"/>
    <w:rsid w:val="001527A3"/>
    <w:rsid w:val="00156F9B"/>
    <w:rsid w:val="00163BA3"/>
    <w:rsid w:val="00166B31"/>
    <w:rsid w:val="00171D87"/>
    <w:rsid w:val="00173B4C"/>
    <w:rsid w:val="00180771"/>
    <w:rsid w:val="0018541A"/>
    <w:rsid w:val="0019125D"/>
    <w:rsid w:val="001930A3"/>
    <w:rsid w:val="001936A3"/>
    <w:rsid w:val="00196EB8"/>
    <w:rsid w:val="001A341E"/>
    <w:rsid w:val="001A5334"/>
    <w:rsid w:val="001B0EA6"/>
    <w:rsid w:val="001B1975"/>
    <w:rsid w:val="001B1CDF"/>
    <w:rsid w:val="001B56F4"/>
    <w:rsid w:val="001C5462"/>
    <w:rsid w:val="001C5A39"/>
    <w:rsid w:val="001C7211"/>
    <w:rsid w:val="001D265C"/>
    <w:rsid w:val="001D3062"/>
    <w:rsid w:val="001D3CFB"/>
    <w:rsid w:val="001D559B"/>
    <w:rsid w:val="001D6302"/>
    <w:rsid w:val="001E252F"/>
    <w:rsid w:val="001E740C"/>
    <w:rsid w:val="001E7DD0"/>
    <w:rsid w:val="001F1BDA"/>
    <w:rsid w:val="001F6645"/>
    <w:rsid w:val="0020095E"/>
    <w:rsid w:val="00204109"/>
    <w:rsid w:val="00210D30"/>
    <w:rsid w:val="00213824"/>
    <w:rsid w:val="00213FDF"/>
    <w:rsid w:val="002204FD"/>
    <w:rsid w:val="002308B5"/>
    <w:rsid w:val="00234A34"/>
    <w:rsid w:val="00237D44"/>
    <w:rsid w:val="0025255D"/>
    <w:rsid w:val="00255EE3"/>
    <w:rsid w:val="00257594"/>
    <w:rsid w:val="00265673"/>
    <w:rsid w:val="00266262"/>
    <w:rsid w:val="00270480"/>
    <w:rsid w:val="00275874"/>
    <w:rsid w:val="002779AF"/>
    <w:rsid w:val="002823D8"/>
    <w:rsid w:val="0028531A"/>
    <w:rsid w:val="00285446"/>
    <w:rsid w:val="00290495"/>
    <w:rsid w:val="00292153"/>
    <w:rsid w:val="00295593"/>
    <w:rsid w:val="002A147E"/>
    <w:rsid w:val="002A335F"/>
    <w:rsid w:val="002A354F"/>
    <w:rsid w:val="002A386C"/>
    <w:rsid w:val="002B540D"/>
    <w:rsid w:val="002C05DB"/>
    <w:rsid w:val="002C30BC"/>
    <w:rsid w:val="002C5965"/>
    <w:rsid w:val="002C7A88"/>
    <w:rsid w:val="002D232B"/>
    <w:rsid w:val="002D2759"/>
    <w:rsid w:val="002D4904"/>
    <w:rsid w:val="002D5E00"/>
    <w:rsid w:val="002D6DAC"/>
    <w:rsid w:val="002E261D"/>
    <w:rsid w:val="002E3B51"/>
    <w:rsid w:val="002E3FAD"/>
    <w:rsid w:val="002E4E16"/>
    <w:rsid w:val="002F06EE"/>
    <w:rsid w:val="002F6DAC"/>
    <w:rsid w:val="00301E8C"/>
    <w:rsid w:val="00305E85"/>
    <w:rsid w:val="00310FA6"/>
    <w:rsid w:val="00314D5D"/>
    <w:rsid w:val="00320009"/>
    <w:rsid w:val="0032424A"/>
    <w:rsid w:val="003245D3"/>
    <w:rsid w:val="00330AA3"/>
    <w:rsid w:val="00332049"/>
    <w:rsid w:val="00334987"/>
    <w:rsid w:val="0033783D"/>
    <w:rsid w:val="00340860"/>
    <w:rsid w:val="00342E34"/>
    <w:rsid w:val="00355889"/>
    <w:rsid w:val="00371CF1"/>
    <w:rsid w:val="003750C1"/>
    <w:rsid w:val="0037592C"/>
    <w:rsid w:val="00380AF7"/>
    <w:rsid w:val="00394092"/>
    <w:rsid w:val="00394A05"/>
    <w:rsid w:val="00397770"/>
    <w:rsid w:val="00397880"/>
    <w:rsid w:val="003A6E1C"/>
    <w:rsid w:val="003A7016"/>
    <w:rsid w:val="003C17A5"/>
    <w:rsid w:val="003C4804"/>
    <w:rsid w:val="003D1552"/>
    <w:rsid w:val="003D5A17"/>
    <w:rsid w:val="003E0EE0"/>
    <w:rsid w:val="003E4046"/>
    <w:rsid w:val="003F003A"/>
    <w:rsid w:val="003F125B"/>
    <w:rsid w:val="003F4786"/>
    <w:rsid w:val="003F7B3F"/>
    <w:rsid w:val="00410645"/>
    <w:rsid w:val="0041078D"/>
    <w:rsid w:val="00410F8F"/>
    <w:rsid w:val="00416F97"/>
    <w:rsid w:val="00427440"/>
    <w:rsid w:val="00427F61"/>
    <w:rsid w:val="0043039B"/>
    <w:rsid w:val="00430679"/>
    <w:rsid w:val="004423FE"/>
    <w:rsid w:val="00445C35"/>
    <w:rsid w:val="0045663A"/>
    <w:rsid w:val="004614CB"/>
    <w:rsid w:val="0046344E"/>
    <w:rsid w:val="004667E7"/>
    <w:rsid w:val="00475797"/>
    <w:rsid w:val="0049135C"/>
    <w:rsid w:val="0049253B"/>
    <w:rsid w:val="004A140B"/>
    <w:rsid w:val="004A4FE7"/>
    <w:rsid w:val="004A6403"/>
    <w:rsid w:val="004B1D37"/>
    <w:rsid w:val="004B4DBB"/>
    <w:rsid w:val="004B7BAA"/>
    <w:rsid w:val="004C1A48"/>
    <w:rsid w:val="004C2DF7"/>
    <w:rsid w:val="004C4E0B"/>
    <w:rsid w:val="004D497E"/>
    <w:rsid w:val="004E27E8"/>
    <w:rsid w:val="004E2BF2"/>
    <w:rsid w:val="004E4809"/>
    <w:rsid w:val="004E5985"/>
    <w:rsid w:val="004E6352"/>
    <w:rsid w:val="004E6460"/>
    <w:rsid w:val="004F0FD2"/>
    <w:rsid w:val="004F23BE"/>
    <w:rsid w:val="004F6B46"/>
    <w:rsid w:val="00506A76"/>
    <w:rsid w:val="00511999"/>
    <w:rsid w:val="005130F6"/>
    <w:rsid w:val="00513393"/>
    <w:rsid w:val="00514EAC"/>
    <w:rsid w:val="00521EA5"/>
    <w:rsid w:val="00525B80"/>
    <w:rsid w:val="00527225"/>
    <w:rsid w:val="0053098F"/>
    <w:rsid w:val="00534F2D"/>
    <w:rsid w:val="00536B2E"/>
    <w:rsid w:val="00541655"/>
    <w:rsid w:val="0054624B"/>
    <w:rsid w:val="00546D8E"/>
    <w:rsid w:val="00553738"/>
    <w:rsid w:val="00565FD6"/>
    <w:rsid w:val="00571AE1"/>
    <w:rsid w:val="00574E03"/>
    <w:rsid w:val="00582D98"/>
    <w:rsid w:val="00583EBC"/>
    <w:rsid w:val="00584FA8"/>
    <w:rsid w:val="00592267"/>
    <w:rsid w:val="0059421F"/>
    <w:rsid w:val="00596CF0"/>
    <w:rsid w:val="00596EC5"/>
    <w:rsid w:val="005A24CE"/>
    <w:rsid w:val="005A2EFA"/>
    <w:rsid w:val="005B0AE2"/>
    <w:rsid w:val="005B1F2C"/>
    <w:rsid w:val="005B5F3C"/>
    <w:rsid w:val="005B7867"/>
    <w:rsid w:val="005C6E5C"/>
    <w:rsid w:val="005D03D9"/>
    <w:rsid w:val="005D054A"/>
    <w:rsid w:val="005D1EE8"/>
    <w:rsid w:val="005D56AE"/>
    <w:rsid w:val="005D666D"/>
    <w:rsid w:val="005D705E"/>
    <w:rsid w:val="005E3A59"/>
    <w:rsid w:val="00604802"/>
    <w:rsid w:val="0061022F"/>
    <w:rsid w:val="00614727"/>
    <w:rsid w:val="00615AB0"/>
    <w:rsid w:val="0061778C"/>
    <w:rsid w:val="00636675"/>
    <w:rsid w:val="00636B90"/>
    <w:rsid w:val="00642828"/>
    <w:rsid w:val="00642DEE"/>
    <w:rsid w:val="0064738B"/>
    <w:rsid w:val="006508EA"/>
    <w:rsid w:val="00666AAE"/>
    <w:rsid w:val="00667E86"/>
    <w:rsid w:val="00675937"/>
    <w:rsid w:val="0068392D"/>
    <w:rsid w:val="00684674"/>
    <w:rsid w:val="00690753"/>
    <w:rsid w:val="00694630"/>
    <w:rsid w:val="00697DB5"/>
    <w:rsid w:val="006A0112"/>
    <w:rsid w:val="006A1B33"/>
    <w:rsid w:val="006A2BCB"/>
    <w:rsid w:val="006A492A"/>
    <w:rsid w:val="006B124A"/>
    <w:rsid w:val="006B5518"/>
    <w:rsid w:val="006B5C72"/>
    <w:rsid w:val="006B7441"/>
    <w:rsid w:val="006D0310"/>
    <w:rsid w:val="006D1CE8"/>
    <w:rsid w:val="006D2009"/>
    <w:rsid w:val="006D508B"/>
    <w:rsid w:val="006D5576"/>
    <w:rsid w:val="006D5C75"/>
    <w:rsid w:val="006E342C"/>
    <w:rsid w:val="006E766D"/>
    <w:rsid w:val="006F4B29"/>
    <w:rsid w:val="006F6CE9"/>
    <w:rsid w:val="0070517C"/>
    <w:rsid w:val="00705C9F"/>
    <w:rsid w:val="007121F5"/>
    <w:rsid w:val="00714096"/>
    <w:rsid w:val="00716951"/>
    <w:rsid w:val="00716AD3"/>
    <w:rsid w:val="00717232"/>
    <w:rsid w:val="00720F6B"/>
    <w:rsid w:val="00735D9E"/>
    <w:rsid w:val="00745A09"/>
    <w:rsid w:val="00751EAF"/>
    <w:rsid w:val="00753941"/>
    <w:rsid w:val="00754CF7"/>
    <w:rsid w:val="00757B0D"/>
    <w:rsid w:val="00761320"/>
    <w:rsid w:val="007651B1"/>
    <w:rsid w:val="0077117B"/>
    <w:rsid w:val="00771A68"/>
    <w:rsid w:val="00772515"/>
    <w:rsid w:val="007744D2"/>
    <w:rsid w:val="00786136"/>
    <w:rsid w:val="007870ED"/>
    <w:rsid w:val="007C212A"/>
    <w:rsid w:val="007D650E"/>
    <w:rsid w:val="007E1B40"/>
    <w:rsid w:val="007E725F"/>
    <w:rsid w:val="007E7D21"/>
    <w:rsid w:val="007F44EB"/>
    <w:rsid w:val="007F482F"/>
    <w:rsid w:val="007F7C94"/>
    <w:rsid w:val="0080398D"/>
    <w:rsid w:val="00806385"/>
    <w:rsid w:val="00807CC5"/>
    <w:rsid w:val="00811F29"/>
    <w:rsid w:val="00814CC6"/>
    <w:rsid w:val="008242FA"/>
    <w:rsid w:val="00831751"/>
    <w:rsid w:val="0083208E"/>
    <w:rsid w:val="00833369"/>
    <w:rsid w:val="00835B42"/>
    <w:rsid w:val="008360EB"/>
    <w:rsid w:val="00842A4E"/>
    <w:rsid w:val="008451AA"/>
    <w:rsid w:val="00847D99"/>
    <w:rsid w:val="0085038E"/>
    <w:rsid w:val="0086271D"/>
    <w:rsid w:val="0086420B"/>
    <w:rsid w:val="00864DBF"/>
    <w:rsid w:val="00864F8E"/>
    <w:rsid w:val="00865AE2"/>
    <w:rsid w:val="008664C4"/>
    <w:rsid w:val="00872958"/>
    <w:rsid w:val="008752FC"/>
    <w:rsid w:val="008774F0"/>
    <w:rsid w:val="0089601F"/>
    <w:rsid w:val="008A7313"/>
    <w:rsid w:val="008A7D91"/>
    <w:rsid w:val="008B7FC7"/>
    <w:rsid w:val="008C4337"/>
    <w:rsid w:val="008C4F06"/>
    <w:rsid w:val="008E0A57"/>
    <w:rsid w:val="008E1E4A"/>
    <w:rsid w:val="008E6BF3"/>
    <w:rsid w:val="008F0615"/>
    <w:rsid w:val="008F103E"/>
    <w:rsid w:val="008F1FDB"/>
    <w:rsid w:val="008F36FB"/>
    <w:rsid w:val="009027DC"/>
    <w:rsid w:val="0090427F"/>
    <w:rsid w:val="00905EC8"/>
    <w:rsid w:val="00915FF1"/>
    <w:rsid w:val="00920506"/>
    <w:rsid w:val="00922636"/>
    <w:rsid w:val="0092449A"/>
    <w:rsid w:val="00926A33"/>
    <w:rsid w:val="00931DEB"/>
    <w:rsid w:val="00933957"/>
    <w:rsid w:val="009359C7"/>
    <w:rsid w:val="00940DF8"/>
    <w:rsid w:val="00950605"/>
    <w:rsid w:val="00952233"/>
    <w:rsid w:val="00954D66"/>
    <w:rsid w:val="009571BA"/>
    <w:rsid w:val="00963F8F"/>
    <w:rsid w:val="00973C62"/>
    <w:rsid w:val="00975D76"/>
    <w:rsid w:val="00982E51"/>
    <w:rsid w:val="009874B9"/>
    <w:rsid w:val="00993581"/>
    <w:rsid w:val="009954AC"/>
    <w:rsid w:val="009A288C"/>
    <w:rsid w:val="009A64C1"/>
    <w:rsid w:val="009B6697"/>
    <w:rsid w:val="009C2EA4"/>
    <w:rsid w:val="009C4C04"/>
    <w:rsid w:val="009C582E"/>
    <w:rsid w:val="009F5A1D"/>
    <w:rsid w:val="009F7566"/>
    <w:rsid w:val="009F777B"/>
    <w:rsid w:val="00A02E74"/>
    <w:rsid w:val="00A06BFE"/>
    <w:rsid w:val="00A10F5D"/>
    <w:rsid w:val="00A1243C"/>
    <w:rsid w:val="00A135AE"/>
    <w:rsid w:val="00A14AF1"/>
    <w:rsid w:val="00A16891"/>
    <w:rsid w:val="00A268CE"/>
    <w:rsid w:val="00A3134D"/>
    <w:rsid w:val="00A332E8"/>
    <w:rsid w:val="00A35AF5"/>
    <w:rsid w:val="00A35DDF"/>
    <w:rsid w:val="00A36CBA"/>
    <w:rsid w:val="00A41E35"/>
    <w:rsid w:val="00A45741"/>
    <w:rsid w:val="00A50291"/>
    <w:rsid w:val="00A530E4"/>
    <w:rsid w:val="00A604CD"/>
    <w:rsid w:val="00A60FE6"/>
    <w:rsid w:val="00A622F5"/>
    <w:rsid w:val="00A63B37"/>
    <w:rsid w:val="00A654BE"/>
    <w:rsid w:val="00A66DD6"/>
    <w:rsid w:val="00A771FD"/>
    <w:rsid w:val="00A874EF"/>
    <w:rsid w:val="00A95415"/>
    <w:rsid w:val="00AA3C89"/>
    <w:rsid w:val="00AA680F"/>
    <w:rsid w:val="00AB32BD"/>
    <w:rsid w:val="00AB4723"/>
    <w:rsid w:val="00AC4CDB"/>
    <w:rsid w:val="00AC70FE"/>
    <w:rsid w:val="00AD33A8"/>
    <w:rsid w:val="00AD4358"/>
    <w:rsid w:val="00AE149A"/>
    <w:rsid w:val="00AE7EB8"/>
    <w:rsid w:val="00AF0584"/>
    <w:rsid w:val="00AF61E1"/>
    <w:rsid w:val="00AF638A"/>
    <w:rsid w:val="00B00141"/>
    <w:rsid w:val="00B009AA"/>
    <w:rsid w:val="00B030C8"/>
    <w:rsid w:val="00B056E7"/>
    <w:rsid w:val="00B05B71"/>
    <w:rsid w:val="00B10035"/>
    <w:rsid w:val="00B15ADC"/>
    <w:rsid w:val="00B15C76"/>
    <w:rsid w:val="00B165E6"/>
    <w:rsid w:val="00B235DB"/>
    <w:rsid w:val="00B2742D"/>
    <w:rsid w:val="00B31C07"/>
    <w:rsid w:val="00B369D5"/>
    <w:rsid w:val="00B4340B"/>
    <w:rsid w:val="00B447C0"/>
    <w:rsid w:val="00B5229B"/>
    <w:rsid w:val="00B548A2"/>
    <w:rsid w:val="00B56934"/>
    <w:rsid w:val="00B62F03"/>
    <w:rsid w:val="00B65B72"/>
    <w:rsid w:val="00B71DAB"/>
    <w:rsid w:val="00B72444"/>
    <w:rsid w:val="00B83B44"/>
    <w:rsid w:val="00B93B62"/>
    <w:rsid w:val="00B953D1"/>
    <w:rsid w:val="00B96422"/>
    <w:rsid w:val="00BA2FC4"/>
    <w:rsid w:val="00BA30D0"/>
    <w:rsid w:val="00BA480B"/>
    <w:rsid w:val="00BA77C9"/>
    <w:rsid w:val="00BA7E19"/>
    <w:rsid w:val="00BB0870"/>
    <w:rsid w:val="00BB0D32"/>
    <w:rsid w:val="00BC0284"/>
    <w:rsid w:val="00BC2C42"/>
    <w:rsid w:val="00BC76B5"/>
    <w:rsid w:val="00BD275E"/>
    <w:rsid w:val="00BD5420"/>
    <w:rsid w:val="00BD5C33"/>
    <w:rsid w:val="00BD7A2E"/>
    <w:rsid w:val="00BE5865"/>
    <w:rsid w:val="00C014A3"/>
    <w:rsid w:val="00C02784"/>
    <w:rsid w:val="00C04BD2"/>
    <w:rsid w:val="00C13EEC"/>
    <w:rsid w:val="00C14689"/>
    <w:rsid w:val="00C156A4"/>
    <w:rsid w:val="00C201BE"/>
    <w:rsid w:val="00C20627"/>
    <w:rsid w:val="00C20FAA"/>
    <w:rsid w:val="00C2459D"/>
    <w:rsid w:val="00C24B17"/>
    <w:rsid w:val="00C316F1"/>
    <w:rsid w:val="00C424A9"/>
    <w:rsid w:val="00C42C95"/>
    <w:rsid w:val="00C4470F"/>
    <w:rsid w:val="00C55E5B"/>
    <w:rsid w:val="00C57D64"/>
    <w:rsid w:val="00C62739"/>
    <w:rsid w:val="00C67AB9"/>
    <w:rsid w:val="00C720A4"/>
    <w:rsid w:val="00C7611C"/>
    <w:rsid w:val="00C8425A"/>
    <w:rsid w:val="00C94097"/>
    <w:rsid w:val="00C96D5B"/>
    <w:rsid w:val="00CA0DF8"/>
    <w:rsid w:val="00CA4269"/>
    <w:rsid w:val="00CA7330"/>
    <w:rsid w:val="00CB1C84"/>
    <w:rsid w:val="00CB64F0"/>
    <w:rsid w:val="00CB6BA8"/>
    <w:rsid w:val="00CC26EA"/>
    <w:rsid w:val="00CC2909"/>
    <w:rsid w:val="00CC2F2A"/>
    <w:rsid w:val="00CC38F8"/>
    <w:rsid w:val="00CC506C"/>
    <w:rsid w:val="00CD01D4"/>
    <w:rsid w:val="00CD0549"/>
    <w:rsid w:val="00CD5EE0"/>
    <w:rsid w:val="00CF40BF"/>
    <w:rsid w:val="00CF47B3"/>
    <w:rsid w:val="00D05E6F"/>
    <w:rsid w:val="00D24F2A"/>
    <w:rsid w:val="00D27929"/>
    <w:rsid w:val="00D33442"/>
    <w:rsid w:val="00D3592C"/>
    <w:rsid w:val="00D3668C"/>
    <w:rsid w:val="00D44BAD"/>
    <w:rsid w:val="00D45B55"/>
    <w:rsid w:val="00D5455B"/>
    <w:rsid w:val="00D54A5A"/>
    <w:rsid w:val="00D60780"/>
    <w:rsid w:val="00D7097B"/>
    <w:rsid w:val="00D86315"/>
    <w:rsid w:val="00D912E2"/>
    <w:rsid w:val="00D91DFA"/>
    <w:rsid w:val="00D97A0E"/>
    <w:rsid w:val="00DA159A"/>
    <w:rsid w:val="00DA16CE"/>
    <w:rsid w:val="00DA1E6B"/>
    <w:rsid w:val="00DA78AD"/>
    <w:rsid w:val="00DB1AB2"/>
    <w:rsid w:val="00DB1CE0"/>
    <w:rsid w:val="00DB3AA0"/>
    <w:rsid w:val="00DB4D78"/>
    <w:rsid w:val="00DC0619"/>
    <w:rsid w:val="00DC2AEF"/>
    <w:rsid w:val="00DC4FDF"/>
    <w:rsid w:val="00DC66F0"/>
    <w:rsid w:val="00DD3A65"/>
    <w:rsid w:val="00DD4A99"/>
    <w:rsid w:val="00DD62C6"/>
    <w:rsid w:val="00DE09BC"/>
    <w:rsid w:val="00DE7137"/>
    <w:rsid w:val="00DF5F55"/>
    <w:rsid w:val="00DF74B5"/>
    <w:rsid w:val="00DF77A9"/>
    <w:rsid w:val="00E0003C"/>
    <w:rsid w:val="00E00498"/>
    <w:rsid w:val="00E14ADB"/>
    <w:rsid w:val="00E15836"/>
    <w:rsid w:val="00E16696"/>
    <w:rsid w:val="00E2617A"/>
    <w:rsid w:val="00E31CD4"/>
    <w:rsid w:val="00E33D34"/>
    <w:rsid w:val="00E45656"/>
    <w:rsid w:val="00E511FD"/>
    <w:rsid w:val="00E538E6"/>
    <w:rsid w:val="00E6311A"/>
    <w:rsid w:val="00E7151C"/>
    <w:rsid w:val="00E7485D"/>
    <w:rsid w:val="00E74B1B"/>
    <w:rsid w:val="00E775B5"/>
    <w:rsid w:val="00E802A2"/>
    <w:rsid w:val="00E83D9C"/>
    <w:rsid w:val="00E85C0B"/>
    <w:rsid w:val="00EA2AE6"/>
    <w:rsid w:val="00EB13D7"/>
    <w:rsid w:val="00EB1E83"/>
    <w:rsid w:val="00EB63E7"/>
    <w:rsid w:val="00EC0376"/>
    <w:rsid w:val="00EC0421"/>
    <w:rsid w:val="00EC4415"/>
    <w:rsid w:val="00EC6273"/>
    <w:rsid w:val="00ED22CB"/>
    <w:rsid w:val="00ED39E7"/>
    <w:rsid w:val="00ED67AF"/>
    <w:rsid w:val="00EE128C"/>
    <w:rsid w:val="00EE4C48"/>
    <w:rsid w:val="00EF66D9"/>
    <w:rsid w:val="00EF68E3"/>
    <w:rsid w:val="00EF6BA5"/>
    <w:rsid w:val="00EF780D"/>
    <w:rsid w:val="00EF7A98"/>
    <w:rsid w:val="00F0267E"/>
    <w:rsid w:val="00F06D06"/>
    <w:rsid w:val="00F11B47"/>
    <w:rsid w:val="00F20EC0"/>
    <w:rsid w:val="00F21ABD"/>
    <w:rsid w:val="00F25944"/>
    <w:rsid w:val="00F25D8D"/>
    <w:rsid w:val="00F3781F"/>
    <w:rsid w:val="00F41462"/>
    <w:rsid w:val="00F43581"/>
    <w:rsid w:val="00F44CCB"/>
    <w:rsid w:val="00F474C9"/>
    <w:rsid w:val="00F5126B"/>
    <w:rsid w:val="00F54EA3"/>
    <w:rsid w:val="00F61675"/>
    <w:rsid w:val="00F6686B"/>
    <w:rsid w:val="00F67F74"/>
    <w:rsid w:val="00F712B3"/>
    <w:rsid w:val="00F73DE3"/>
    <w:rsid w:val="00F744BF"/>
    <w:rsid w:val="00F77219"/>
    <w:rsid w:val="00F84DD2"/>
    <w:rsid w:val="00FB0872"/>
    <w:rsid w:val="00FB0F27"/>
    <w:rsid w:val="00FB20D1"/>
    <w:rsid w:val="00FB54CC"/>
    <w:rsid w:val="00FB6E16"/>
    <w:rsid w:val="00FD1A37"/>
    <w:rsid w:val="00FD4E5B"/>
    <w:rsid w:val="00FE4EE0"/>
    <w:rsid w:val="00FE6454"/>
  </w:rsids>
  <m:mathPr>
    <m:mathFont m:val="Cambria Math"/>
    <m:brkBin m:val="before"/>
    <m:brkBinSub m:val="--"/>
    <m:smallFrac m:val="0"/>
    <m:dispDef m:val="0"/>
    <m:lMargin m:val="0"/>
    <m:rMargin m:val="0"/>
    <m:defJc m:val="centerGroup"/>
    <m:wrapRight/>
    <m:intLim m:val="subSup"/>
    <m:naryLim m:val="subSup"/>
  </m:mathPr>
  <w:themeFontLang w:val="en-US"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F5D4FF8"/>
  <w15:docId w15:val="{375C64D2-2DF5-45A3-A66C-EC0718E12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27A3"/>
    <w:pPr>
      <w:tabs>
        <w:tab w:val="left" w:pos="1134"/>
      </w:tabs>
      <w:jc w:val="both"/>
    </w:pPr>
    <w:rPr>
      <w:rFonts w:ascii="Verdana" w:eastAsia="Arial" w:hAnsi="Verdana" w:cs="Arial"/>
      <w:lang w:val="en-GB" w:eastAsia="en-US"/>
    </w:rPr>
  </w:style>
  <w:style w:type="paragraph" w:styleId="Heading1">
    <w:name w:val="heading 1"/>
    <w:next w:val="WMOBodyText"/>
    <w:link w:val="Heading1Char"/>
    <w:qFormat/>
    <w:rsid w:val="001D3CFB"/>
    <w:pPr>
      <w:keepNext/>
      <w:keepLines/>
      <w:spacing w:before="360" w:after="120"/>
      <w:jc w:val="center"/>
      <w:outlineLvl w:val="0"/>
    </w:pPr>
    <w:rPr>
      <w:rFonts w:ascii="Verdana" w:eastAsia="Verdana" w:hAnsi="Verdana" w:cs="Verdana"/>
      <w:b/>
      <w:bCs/>
      <w:caps/>
      <w:kern w:val="32"/>
      <w:sz w:val="24"/>
      <w:szCs w:val="24"/>
      <w:lang w:val="en-GB"/>
    </w:rPr>
  </w:style>
  <w:style w:type="paragraph" w:styleId="Heading2">
    <w:name w:val="heading 2"/>
    <w:next w:val="WMOBodyText"/>
    <w:link w:val="Heading2Char"/>
    <w:qFormat/>
    <w:rsid w:val="001527A3"/>
    <w:pPr>
      <w:keepNext/>
      <w:keepLines/>
      <w:spacing w:before="360" w:after="360"/>
      <w:jc w:val="center"/>
      <w:outlineLvl w:val="1"/>
    </w:pPr>
    <w:rPr>
      <w:rFonts w:ascii="Verdana" w:eastAsia="Verdana" w:hAnsi="Verdana" w:cs="Verdana"/>
      <w:b/>
      <w:bCs/>
      <w:iCs/>
      <w:sz w:val="22"/>
      <w:szCs w:val="22"/>
      <w:lang w:val="es-ES_tradnl"/>
    </w:rPr>
  </w:style>
  <w:style w:type="paragraph" w:styleId="Heading3">
    <w:name w:val="heading 3"/>
    <w:next w:val="WMOBodyText"/>
    <w:link w:val="Heading3Char"/>
    <w:qFormat/>
    <w:rsid w:val="001527A3"/>
    <w:pPr>
      <w:keepNext/>
      <w:keepLines/>
      <w:tabs>
        <w:tab w:val="left" w:pos="1134"/>
      </w:tabs>
      <w:spacing w:before="360" w:after="360"/>
      <w:outlineLvl w:val="2"/>
    </w:pPr>
    <w:rPr>
      <w:rFonts w:ascii="Verdana" w:eastAsia="Verdana" w:hAnsi="Verdana" w:cs="Verdana"/>
      <w:b/>
      <w:bCs/>
      <w:lang w:val="es-ES_tradnl"/>
    </w:rPr>
  </w:style>
  <w:style w:type="paragraph" w:styleId="Heading4">
    <w:name w:val="heading 4"/>
    <w:next w:val="WMOBodyText"/>
    <w:link w:val="Heading4Char"/>
    <w:qFormat/>
    <w:rsid w:val="00A530E4"/>
    <w:pPr>
      <w:keepNext/>
      <w:keepLines/>
      <w:spacing w:before="360"/>
      <w:ind w:left="1134" w:hanging="1134"/>
      <w:outlineLvl w:val="3"/>
    </w:pPr>
    <w:rPr>
      <w:rFonts w:ascii="Verdana" w:eastAsia="Verdana" w:hAnsi="Verdana" w:cs="Verdana"/>
      <w:b/>
      <w:i/>
      <w:lang w:val="en-GB"/>
    </w:rPr>
  </w:style>
  <w:style w:type="paragraph" w:styleId="Heading5">
    <w:name w:val="heading 5"/>
    <w:basedOn w:val="Normal"/>
    <w:next w:val="Normal"/>
    <w:qFormat/>
    <w:rsid w:val="00C13EEC"/>
    <w:pPr>
      <w:tabs>
        <w:tab w:val="left" w:pos="1080"/>
      </w:tabs>
      <w:spacing w:before="240"/>
      <w:ind w:left="1080" w:hanging="1080"/>
      <w:outlineLvl w:val="4"/>
    </w:pPr>
    <w:rPr>
      <w:bCs/>
      <w:i/>
      <w:iCs/>
      <w:szCs w:val="22"/>
      <w:lang w:eastAsia="zh-TW"/>
    </w:rPr>
  </w:style>
  <w:style w:type="paragraph" w:styleId="Heading6">
    <w:name w:val="heading 6"/>
    <w:basedOn w:val="Normal"/>
    <w:next w:val="Normal"/>
    <w:qFormat/>
    <w:rsid w:val="00C13EEC"/>
    <w:pPr>
      <w:keepNext/>
      <w:widowControl w:val="0"/>
      <w:tabs>
        <w:tab w:val="center" w:pos="4513"/>
      </w:tabs>
      <w:suppressAutoHyphens/>
      <w:jc w:val="center"/>
      <w:outlineLvl w:val="5"/>
    </w:pPr>
    <w:rPr>
      <w:b/>
      <w:snapToGrid w:val="0"/>
      <w:spacing w:val="-2"/>
      <w:lang w:eastAsia="zh-TW"/>
    </w:rPr>
  </w:style>
  <w:style w:type="paragraph" w:styleId="Heading7">
    <w:name w:val="heading 7"/>
    <w:basedOn w:val="Normal"/>
    <w:next w:val="Normal"/>
    <w:qFormat/>
    <w:rsid w:val="00C13EEC"/>
    <w:pPr>
      <w:keepNext/>
      <w:tabs>
        <w:tab w:val="clear" w:pos="1134"/>
        <w:tab w:val="left" w:pos="-722"/>
        <w:tab w:val="left" w:pos="1140"/>
        <w:tab w:val="left" w:pos="6946"/>
      </w:tabs>
      <w:suppressAutoHyphens/>
      <w:spacing w:line="252" w:lineRule="auto"/>
      <w:outlineLvl w:val="6"/>
    </w:pPr>
    <w:rPr>
      <w:b/>
      <w:bCs/>
      <w:color w:val="4436AA"/>
      <w:spacing w:val="-2"/>
      <w:sz w:val="28"/>
      <w:szCs w:val="22"/>
      <w:lang w:eastAsia="zh-TW"/>
    </w:rPr>
  </w:style>
  <w:style w:type="paragraph" w:styleId="Heading8">
    <w:name w:val="heading 8"/>
    <w:basedOn w:val="Normal"/>
    <w:next w:val="Normal"/>
    <w:qFormat/>
    <w:rsid w:val="005B74AD"/>
    <w:p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rsid w:val="005B74AD"/>
    <w:p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2459D"/>
    <w:pPr>
      <w:tabs>
        <w:tab w:val="clear" w:pos="1134"/>
      </w:tabs>
      <w:spacing w:after="360"/>
      <w:jc w:val="center"/>
    </w:pPr>
  </w:style>
  <w:style w:type="paragraph" w:styleId="BlockText">
    <w:name w:val="Block Text"/>
    <w:basedOn w:val="Normal"/>
    <w:rsid w:val="008A71EB"/>
    <w:pPr>
      <w:ind w:left="567" w:right="566"/>
    </w:pPr>
    <w:rPr>
      <w:rFonts w:ascii="Univers" w:hAnsi="Univers"/>
      <w:sz w:val="21"/>
    </w:rPr>
  </w:style>
  <w:style w:type="paragraph" w:customStyle="1" w:styleId="CrossTitle12">
    <w:name w:val="***Cross_Title_12"/>
    <w:basedOn w:val="Normal"/>
    <w:rsid w:val="008A71EB"/>
    <w:pPr>
      <w:jc w:val="center"/>
    </w:pPr>
    <w:rPr>
      <w:rFonts w:eastAsia="SimSun"/>
      <w:b/>
      <w:bCs/>
      <w:caps/>
      <w:sz w:val="24"/>
      <w:szCs w:val="24"/>
      <w:lang w:val="fr-CH" w:eastAsia="zh-CN"/>
    </w:rPr>
  </w:style>
  <w:style w:type="paragraph" w:customStyle="1" w:styleId="Service9">
    <w:name w:val="Service 9"/>
    <w:rsid w:val="008A71EB"/>
    <w:pPr>
      <w:jc w:val="center"/>
    </w:pPr>
    <w:rPr>
      <w:rFonts w:ascii="Arial" w:eastAsia="Times New Roman" w:hAnsi="Arial"/>
      <w:sz w:val="18"/>
      <w:lang w:val="en-GB" w:eastAsia="en-US"/>
    </w:rPr>
  </w:style>
  <w:style w:type="character" w:styleId="Hyperlink">
    <w:name w:val="Hyperlink"/>
    <w:basedOn w:val="DefaultParagraphFont"/>
    <w:rsid w:val="009F3E3D"/>
    <w:rPr>
      <w:color w:val="0000FF"/>
      <w:u w:val="none"/>
    </w:rPr>
  </w:style>
  <w:style w:type="character" w:styleId="PageNumber">
    <w:name w:val="page number"/>
    <w:basedOn w:val="DefaultParagraphFont"/>
    <w:rsid w:val="008A71EB"/>
  </w:style>
  <w:style w:type="paragraph" w:styleId="TOC4">
    <w:name w:val="toc 4"/>
    <w:basedOn w:val="Normal"/>
    <w:next w:val="Normal"/>
    <w:autoRedefine/>
    <w:semiHidden/>
    <w:rsid w:val="006A5514"/>
    <w:pPr>
      <w:ind w:left="660"/>
    </w:pPr>
  </w:style>
  <w:style w:type="paragraph" w:customStyle="1" w:styleId="CrossTitle14">
    <w:name w:val="***Cross_Title_14"/>
    <w:basedOn w:val="Normal"/>
    <w:rsid w:val="008A71EB"/>
    <w:pPr>
      <w:keepNext/>
      <w:tabs>
        <w:tab w:val="clear" w:pos="1134"/>
        <w:tab w:val="left" w:pos="1140"/>
      </w:tabs>
      <w:spacing w:after="100"/>
      <w:jc w:val="center"/>
    </w:pPr>
    <w:rPr>
      <w:rFonts w:eastAsia="SimSun"/>
      <w:b/>
      <w:caps/>
      <w:sz w:val="28"/>
      <w:szCs w:val="28"/>
      <w:lang w:val="fr-CH" w:eastAsia="zh-CN"/>
    </w:rPr>
  </w:style>
  <w:style w:type="character" w:customStyle="1" w:styleId="Heading2Char">
    <w:name w:val="Heading 2 Char"/>
    <w:link w:val="Heading2"/>
    <w:locked/>
    <w:rsid w:val="001527A3"/>
    <w:rPr>
      <w:rFonts w:ascii="Verdana" w:eastAsia="Verdana" w:hAnsi="Verdana" w:cs="Verdana"/>
      <w:b/>
      <w:bCs/>
      <w:iCs/>
      <w:sz w:val="22"/>
      <w:szCs w:val="22"/>
      <w:lang w:val="es-ES_tradnl"/>
    </w:rPr>
  </w:style>
  <w:style w:type="paragraph" w:styleId="Footer">
    <w:name w:val="footer"/>
    <w:basedOn w:val="Normal"/>
    <w:rsid w:val="008A71EB"/>
    <w:pPr>
      <w:tabs>
        <w:tab w:val="center" w:pos="4320"/>
        <w:tab w:val="right" w:pos="8640"/>
      </w:tabs>
    </w:pPr>
  </w:style>
  <w:style w:type="paragraph" w:styleId="BalloonText">
    <w:name w:val="Balloon Text"/>
    <w:basedOn w:val="Normal"/>
    <w:link w:val="BalloonTextChar"/>
    <w:uiPriority w:val="99"/>
    <w:semiHidden/>
    <w:rsid w:val="005A6BCE"/>
    <w:rPr>
      <w:rFonts w:ascii="Tahoma" w:hAnsi="Tahoma" w:cs="Tahoma"/>
      <w:sz w:val="16"/>
      <w:szCs w:val="16"/>
    </w:rPr>
  </w:style>
  <w:style w:type="paragraph" w:styleId="DocumentMap">
    <w:name w:val="Document Map"/>
    <w:basedOn w:val="Normal"/>
    <w:semiHidden/>
    <w:rsid w:val="002A7FA1"/>
    <w:pPr>
      <w:shd w:val="clear" w:color="auto" w:fill="000080"/>
    </w:pPr>
    <w:rPr>
      <w:rFonts w:ascii="Tahoma" w:hAnsi="Tahoma" w:cs="Tahoma"/>
    </w:rPr>
  </w:style>
  <w:style w:type="paragraph" w:styleId="TOC3">
    <w:name w:val="toc 3"/>
    <w:basedOn w:val="Normal"/>
    <w:next w:val="Normal"/>
    <w:autoRedefine/>
    <w:semiHidden/>
    <w:rsid w:val="00E91F0F"/>
    <w:pPr>
      <w:ind w:left="400"/>
    </w:pPr>
  </w:style>
  <w:style w:type="paragraph" w:styleId="TOC1">
    <w:name w:val="toc 1"/>
    <w:basedOn w:val="Normal"/>
    <w:next w:val="Normal"/>
    <w:autoRedefine/>
    <w:semiHidden/>
    <w:rsid w:val="00E91F0F"/>
  </w:style>
  <w:style w:type="paragraph" w:styleId="TOC2">
    <w:name w:val="toc 2"/>
    <w:basedOn w:val="Normal"/>
    <w:next w:val="Normal"/>
    <w:autoRedefine/>
    <w:semiHidden/>
    <w:rsid w:val="00E91F0F"/>
    <w:pPr>
      <w:ind w:left="200"/>
    </w:pPr>
  </w:style>
  <w:style w:type="character" w:styleId="FollowedHyperlink">
    <w:name w:val="FollowedHyperlink"/>
    <w:basedOn w:val="DefaultParagraphFont"/>
    <w:rsid w:val="002F006A"/>
    <w:rPr>
      <w:color w:val="0000FF"/>
      <w:u w:val="none"/>
    </w:rPr>
  </w:style>
  <w:style w:type="paragraph" w:customStyle="1" w:styleId="WMOSubTitle1">
    <w:name w:val="WMO_SubTitle1"/>
    <w:basedOn w:val="Heading4"/>
    <w:next w:val="WMOBodyText"/>
    <w:rsid w:val="004D497E"/>
    <w:pPr>
      <w:spacing w:before="280"/>
      <w:ind w:left="0" w:firstLine="0"/>
    </w:pPr>
  </w:style>
  <w:style w:type="paragraph" w:customStyle="1" w:styleId="Comment">
    <w:name w:val="Comment"/>
    <w:basedOn w:val="Normal"/>
    <w:next w:val="WMOBodyText"/>
    <w:link w:val="CommentChar"/>
    <w:rsid w:val="000C225A"/>
    <w:pPr>
      <w:spacing w:before="240"/>
      <w:jc w:val="left"/>
    </w:pPr>
    <w:rPr>
      <w:i/>
      <w:szCs w:val="22"/>
    </w:rPr>
  </w:style>
  <w:style w:type="paragraph" w:customStyle="1" w:styleId="CharCharCharChar">
    <w:name w:val="Char Char Char Char"/>
    <w:basedOn w:val="Normal"/>
    <w:rsid w:val="00480313"/>
    <w:pPr>
      <w:jc w:val="left"/>
    </w:pPr>
    <w:rPr>
      <w:rFonts w:ascii="Times New Roman" w:hAnsi="Times New Roman"/>
      <w:sz w:val="24"/>
      <w:szCs w:val="24"/>
      <w:lang w:val="pl-PL" w:eastAsia="pl-PL"/>
    </w:rPr>
  </w:style>
  <w:style w:type="paragraph" w:customStyle="1" w:styleId="CharChar">
    <w:name w:val="Знак Знак Char Char"/>
    <w:basedOn w:val="Normal"/>
    <w:rsid w:val="000B5E64"/>
    <w:pPr>
      <w:jc w:val="left"/>
    </w:pPr>
    <w:rPr>
      <w:rFonts w:ascii="Times New Roman" w:hAnsi="Times New Roman"/>
      <w:sz w:val="24"/>
      <w:szCs w:val="24"/>
      <w:lang w:val="pl-PL" w:eastAsia="pl-PL"/>
    </w:rPr>
  </w:style>
  <w:style w:type="paragraph" w:customStyle="1" w:styleId="BodyText">
    <w:name w:val="BodyText"/>
    <w:basedOn w:val="Normal"/>
    <w:link w:val="BodyTextChar"/>
    <w:rsid w:val="004F49A1"/>
    <w:pPr>
      <w:tabs>
        <w:tab w:val="left" w:pos="1080"/>
      </w:tabs>
      <w:spacing w:before="240"/>
    </w:pPr>
    <w:rPr>
      <w:szCs w:val="22"/>
    </w:rPr>
  </w:style>
  <w:style w:type="paragraph" w:customStyle="1" w:styleId="WMOBodyText">
    <w:name w:val="WMO_BodyText"/>
    <w:link w:val="WMOBodyTextCharChar"/>
    <w:qFormat/>
    <w:rsid w:val="00514EAC"/>
    <w:pPr>
      <w:spacing w:before="240"/>
    </w:pPr>
    <w:rPr>
      <w:rFonts w:ascii="Verdana" w:eastAsia="Verdana" w:hAnsi="Verdana" w:cs="Verdana"/>
      <w:lang w:val="es-ES_tradnl"/>
    </w:rPr>
  </w:style>
  <w:style w:type="paragraph" w:customStyle="1" w:styleId="WMOSubTitle2">
    <w:name w:val="WMO_SubTitle2"/>
    <w:basedOn w:val="Heading5"/>
    <w:next w:val="WMOBodyText"/>
    <w:rsid w:val="00A530E4"/>
    <w:pPr>
      <w:keepNext/>
      <w:keepLines/>
      <w:tabs>
        <w:tab w:val="clear" w:pos="1080"/>
      </w:tabs>
      <w:spacing w:before="280"/>
      <w:ind w:left="0" w:firstLine="0"/>
      <w:jc w:val="left"/>
    </w:pPr>
    <w:rPr>
      <w:rFonts w:eastAsia="Verdana" w:cs="Verdana"/>
      <w:szCs w:val="20"/>
    </w:rPr>
  </w:style>
  <w:style w:type="paragraph" w:styleId="BodyText0">
    <w:name w:val="Body Text"/>
    <w:basedOn w:val="Normal"/>
    <w:link w:val="BodyTextChar0"/>
    <w:rsid w:val="00831751"/>
    <w:pPr>
      <w:tabs>
        <w:tab w:val="clear" w:pos="1134"/>
        <w:tab w:val="left" w:pos="1140"/>
      </w:tabs>
      <w:jc w:val="center"/>
    </w:pPr>
    <w:rPr>
      <w:rFonts w:eastAsia="SimSun"/>
      <w:b/>
      <w:bCs/>
      <w:sz w:val="24"/>
      <w:szCs w:val="24"/>
      <w:lang w:eastAsia="zh-CN"/>
    </w:rPr>
  </w:style>
  <w:style w:type="character" w:styleId="FootnoteReference">
    <w:name w:val="footnote reference"/>
    <w:basedOn w:val="DefaultParagraphFont"/>
    <w:uiPriority w:val="99"/>
    <w:rsid w:val="003B7252"/>
    <w:rPr>
      <w:vertAlign w:val="superscript"/>
    </w:rPr>
  </w:style>
  <w:style w:type="paragraph" w:customStyle="1" w:styleId="ECBodyText-Centred">
    <w:name w:val="EC_BodyText-Centred"/>
    <w:basedOn w:val="WMOBodyText"/>
    <w:next w:val="WMOBodyText"/>
    <w:rsid w:val="00415F4C"/>
    <w:pPr>
      <w:jc w:val="center"/>
    </w:pPr>
  </w:style>
  <w:style w:type="paragraph" w:styleId="FootnoteText">
    <w:name w:val="footnote text"/>
    <w:basedOn w:val="Normal"/>
    <w:link w:val="FootnoteTextChar"/>
    <w:uiPriority w:val="99"/>
    <w:rsid w:val="00BD5420"/>
    <w:pPr>
      <w:spacing w:before="60"/>
      <w:ind w:left="142" w:hanging="142"/>
      <w:jc w:val="left"/>
    </w:pPr>
    <w:rPr>
      <w:sz w:val="18"/>
      <w:szCs w:val="18"/>
    </w:rPr>
  </w:style>
  <w:style w:type="character" w:styleId="CommentReference">
    <w:name w:val="annotation reference"/>
    <w:basedOn w:val="DefaultParagraphFont"/>
    <w:semiHidden/>
    <w:rsid w:val="00DD35CC"/>
    <w:rPr>
      <w:sz w:val="16"/>
      <w:szCs w:val="16"/>
    </w:rPr>
  </w:style>
  <w:style w:type="paragraph" w:styleId="CommentText">
    <w:name w:val="annotation text"/>
    <w:basedOn w:val="Normal"/>
    <w:semiHidden/>
    <w:rsid w:val="00DD35CC"/>
  </w:style>
  <w:style w:type="paragraph" w:styleId="CommentSubject">
    <w:name w:val="annotation subject"/>
    <w:basedOn w:val="CommentText"/>
    <w:next w:val="CommentText"/>
    <w:semiHidden/>
    <w:rsid w:val="00DD35CC"/>
    <w:rPr>
      <w:b/>
      <w:bCs/>
    </w:rPr>
  </w:style>
  <w:style w:type="paragraph" w:customStyle="1" w:styleId="ECBox">
    <w:name w:val="EC_Box"/>
    <w:basedOn w:val="WMOBodyText"/>
    <w:next w:val="WMOBodyText"/>
    <w:rsid w:val="00733D4F"/>
    <w:pPr>
      <w:pBdr>
        <w:top w:val="single" w:sz="4" w:space="12" w:color="auto"/>
        <w:left w:val="single" w:sz="4" w:space="5" w:color="auto"/>
        <w:bottom w:val="single" w:sz="4" w:space="12" w:color="auto"/>
        <w:right w:val="single" w:sz="4" w:space="5" w:color="auto"/>
      </w:pBdr>
    </w:pPr>
  </w:style>
  <w:style w:type="paragraph" w:customStyle="1" w:styleId="Heading2-Centered">
    <w:name w:val="Heading 2 - Centered"/>
    <w:basedOn w:val="Heading2"/>
    <w:next w:val="Normal"/>
    <w:rsid w:val="00C13EEC"/>
  </w:style>
  <w:style w:type="paragraph" w:styleId="Title">
    <w:name w:val="Title"/>
    <w:basedOn w:val="Normal"/>
    <w:qFormat/>
    <w:rsid w:val="0028006F"/>
    <w:pPr>
      <w:spacing w:before="240" w:after="60"/>
      <w:jc w:val="center"/>
      <w:outlineLvl w:val="0"/>
    </w:pPr>
    <w:rPr>
      <w:b/>
      <w:bCs/>
      <w:kern w:val="28"/>
      <w:sz w:val="32"/>
      <w:szCs w:val="32"/>
    </w:rPr>
  </w:style>
  <w:style w:type="paragraph" w:customStyle="1" w:styleId="ECBodyText">
    <w:name w:val="EC_BodyText"/>
    <w:basedOn w:val="Normal"/>
    <w:link w:val="ECBodyTextChar"/>
    <w:rsid w:val="00E60546"/>
    <w:pPr>
      <w:tabs>
        <w:tab w:val="clear" w:pos="1134"/>
        <w:tab w:val="left" w:pos="1080"/>
      </w:tabs>
      <w:spacing w:before="240"/>
      <w:jc w:val="left"/>
    </w:pPr>
    <w:rPr>
      <w:rFonts w:eastAsia="Times New Roman"/>
      <w:szCs w:val="22"/>
    </w:rPr>
  </w:style>
  <w:style w:type="character" w:customStyle="1" w:styleId="ECBodyTextChar">
    <w:name w:val="EC_BodyText Char"/>
    <w:basedOn w:val="DefaultParagraphFont"/>
    <w:link w:val="ECBodyText"/>
    <w:rsid w:val="00E60546"/>
    <w:rPr>
      <w:rFonts w:ascii="Arial" w:eastAsia="Times New Roman" w:hAnsi="Arial" w:cs="Arial"/>
      <w:sz w:val="22"/>
      <w:szCs w:val="22"/>
    </w:rPr>
  </w:style>
  <w:style w:type="paragraph" w:customStyle="1" w:styleId="StyleHeading1LatinTimesNewRoman">
    <w:name w:val="Style Heading 1 + (Latin) Times New Roman"/>
    <w:basedOn w:val="Heading1"/>
    <w:link w:val="StyleHeading1LatinTimesNewRomanChar"/>
    <w:rsid w:val="00CF399D"/>
  </w:style>
  <w:style w:type="character" w:customStyle="1" w:styleId="Heading1Char">
    <w:name w:val="Heading 1 Char"/>
    <w:basedOn w:val="DefaultParagraphFont"/>
    <w:link w:val="Heading1"/>
    <w:rsid w:val="001D3CFB"/>
    <w:rPr>
      <w:rFonts w:ascii="Verdana" w:eastAsia="Verdana" w:hAnsi="Verdana" w:cs="Verdana"/>
      <w:b/>
      <w:bCs/>
      <w:caps/>
      <w:kern w:val="32"/>
      <w:sz w:val="24"/>
      <w:szCs w:val="24"/>
      <w:lang w:val="en-GB"/>
    </w:rPr>
  </w:style>
  <w:style w:type="character" w:customStyle="1" w:styleId="StyleHeading1LatinTimesNewRomanChar">
    <w:name w:val="Style Heading 1 + (Latin) Times New Roman Char"/>
    <w:basedOn w:val="Heading1Char"/>
    <w:link w:val="StyleHeading1LatinTimesNewRoman"/>
    <w:rsid w:val="00CF399D"/>
    <w:rPr>
      <w:rFonts w:ascii="Arial" w:eastAsia="Arial" w:hAnsi="Arial" w:cs="Arial"/>
      <w:b/>
      <w:bCs/>
      <w:caps/>
      <w:kern w:val="32"/>
      <w:sz w:val="28"/>
      <w:szCs w:val="32"/>
      <w:lang w:val="en-GB" w:eastAsia="en-US" w:bidi="ar-SA"/>
    </w:rPr>
  </w:style>
  <w:style w:type="paragraph" w:customStyle="1" w:styleId="StyleHeading1LatinTimesNewRoman1">
    <w:name w:val="Style Heading 1 + (Latin) Times New Roman1"/>
    <w:basedOn w:val="Heading1"/>
    <w:link w:val="StyleHeading1LatinTimesNewRoman1Char"/>
    <w:rsid w:val="00CF399D"/>
    <w:rPr>
      <w:rFonts w:cs="Arial Bold"/>
    </w:rPr>
  </w:style>
  <w:style w:type="character" w:customStyle="1" w:styleId="StyleHeading1LatinTimesNewRoman1Char">
    <w:name w:val="Style Heading 1 + (Latin) Times New Roman1 Char"/>
    <w:basedOn w:val="Heading1Char"/>
    <w:link w:val="StyleHeading1LatinTimesNewRoman1"/>
    <w:rsid w:val="00CF399D"/>
    <w:rPr>
      <w:rFonts w:ascii="Arial" w:eastAsia="Arial" w:hAnsi="Arial" w:cs="Arial Bold"/>
      <w:b/>
      <w:bCs/>
      <w:caps/>
      <w:kern w:val="32"/>
      <w:sz w:val="28"/>
      <w:szCs w:val="32"/>
      <w:lang w:val="en-GB" w:eastAsia="en-US" w:bidi="ar-SA"/>
    </w:rPr>
  </w:style>
  <w:style w:type="character" w:customStyle="1" w:styleId="BodyTextChar">
    <w:name w:val="BodyText Char"/>
    <w:basedOn w:val="DefaultParagraphFont"/>
    <w:link w:val="BodyText"/>
    <w:rsid w:val="004F49A1"/>
    <w:rPr>
      <w:rFonts w:ascii="Arial" w:eastAsia="Arial" w:hAnsi="Arial" w:cs="Arial"/>
      <w:sz w:val="22"/>
      <w:szCs w:val="22"/>
      <w:lang w:val="en-GB" w:eastAsia="en-US" w:bidi="ar-SA"/>
    </w:rPr>
  </w:style>
  <w:style w:type="character" w:customStyle="1" w:styleId="WMOBodyTextCharChar">
    <w:name w:val="WMO_BodyText Char Char"/>
    <w:basedOn w:val="DefaultParagraphFont"/>
    <w:link w:val="WMOBodyText"/>
    <w:rsid w:val="00514EAC"/>
    <w:rPr>
      <w:rFonts w:ascii="Verdana" w:eastAsia="Verdana" w:hAnsi="Verdana" w:cs="Verdana"/>
      <w:lang w:val="es-ES_tradnl"/>
    </w:rPr>
  </w:style>
  <w:style w:type="table" w:styleId="TableGrid">
    <w:name w:val="Table Grid"/>
    <w:basedOn w:val="TableNormal"/>
    <w:rsid w:val="00E47C1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28778B"/>
    <w:rPr>
      <w:color w:val="808080"/>
      <w:sz w:val="20"/>
    </w:rPr>
  </w:style>
  <w:style w:type="character" w:customStyle="1" w:styleId="Heading4Char">
    <w:name w:val="Heading 4 Char"/>
    <w:basedOn w:val="DefaultParagraphFont"/>
    <w:link w:val="Heading4"/>
    <w:rsid w:val="00A530E4"/>
    <w:rPr>
      <w:rFonts w:ascii="Verdana" w:eastAsia="Verdana" w:hAnsi="Verdana" w:cs="Verdana"/>
      <w:b/>
      <w:i/>
      <w:lang w:val="en-GB"/>
    </w:rPr>
  </w:style>
  <w:style w:type="paragraph" w:customStyle="1" w:styleId="Heading2Centered">
    <w:name w:val="Heading 2 + Centered"/>
    <w:aliases w:val="Before:  0 cm,First line:  0 cm + Not All caps"/>
    <w:basedOn w:val="Heading2"/>
    <w:link w:val="Heading2CenteredChar"/>
    <w:rsid w:val="00C13EEC"/>
  </w:style>
  <w:style w:type="character" w:customStyle="1" w:styleId="Heading2CenteredChar">
    <w:name w:val="Heading 2 + Centered Char"/>
    <w:aliases w:val="Before:  0 cm Char,First line:  0 cm + Not All caps Char"/>
    <w:basedOn w:val="Heading2Char"/>
    <w:link w:val="Heading2Centered"/>
    <w:rsid w:val="00C13EEC"/>
    <w:rPr>
      <w:rFonts w:ascii="Arial" w:eastAsia="Arial" w:hAnsi="Arial" w:cs="Arial"/>
      <w:b/>
      <w:bCs/>
      <w:iCs/>
      <w:caps w:val="0"/>
      <w:sz w:val="22"/>
      <w:szCs w:val="22"/>
      <w:lang w:val="en-GB"/>
    </w:rPr>
  </w:style>
  <w:style w:type="character" w:customStyle="1" w:styleId="BalloonTextChar">
    <w:name w:val="Balloon Text Char"/>
    <w:basedOn w:val="DefaultParagraphFont"/>
    <w:link w:val="BalloonText"/>
    <w:uiPriority w:val="99"/>
    <w:semiHidden/>
    <w:rsid w:val="00B165E6"/>
    <w:rPr>
      <w:rFonts w:ascii="Tahoma" w:eastAsia="Arial" w:hAnsi="Tahoma" w:cs="Tahoma"/>
      <w:sz w:val="16"/>
      <w:szCs w:val="16"/>
      <w:lang w:val="en-GB" w:eastAsia="en-US"/>
    </w:rPr>
  </w:style>
  <w:style w:type="paragraph" w:customStyle="1" w:styleId="WMOTOC2">
    <w:name w:val="WMO_TOC2"/>
    <w:basedOn w:val="TOC2"/>
    <w:next w:val="Normal"/>
    <w:qFormat/>
    <w:rsid w:val="00B165E6"/>
    <w:pPr>
      <w:tabs>
        <w:tab w:val="clear" w:pos="1134"/>
        <w:tab w:val="left" w:pos="851"/>
        <w:tab w:val="right" w:leader="dot" w:pos="9639"/>
      </w:tabs>
      <w:spacing w:before="360" w:after="120"/>
      <w:ind w:left="851" w:right="567" w:hanging="851"/>
      <w:jc w:val="left"/>
    </w:pPr>
    <w:rPr>
      <w:rFonts w:eastAsia="MS Mincho"/>
      <w:b/>
      <w:smallCaps/>
      <w:noProof/>
      <w:szCs w:val="22"/>
    </w:rPr>
  </w:style>
  <w:style w:type="paragraph" w:customStyle="1" w:styleId="WMOTOC1">
    <w:name w:val="WMO_TOC1"/>
    <w:basedOn w:val="TOC1"/>
    <w:next w:val="WMOTOC2"/>
    <w:qFormat/>
    <w:rsid w:val="00B165E6"/>
    <w:pPr>
      <w:tabs>
        <w:tab w:val="clear" w:pos="1134"/>
      </w:tabs>
      <w:spacing w:before="120" w:after="120"/>
      <w:jc w:val="left"/>
    </w:pPr>
    <w:rPr>
      <w:rFonts w:eastAsia="MS Mincho"/>
      <w:b/>
      <w:smallCaps/>
      <w:noProof/>
      <w:szCs w:val="22"/>
    </w:rPr>
  </w:style>
  <w:style w:type="paragraph" w:customStyle="1" w:styleId="WMOTOC3">
    <w:name w:val="WMO_TOC3"/>
    <w:basedOn w:val="TOC3"/>
    <w:qFormat/>
    <w:rsid w:val="00B165E6"/>
    <w:pPr>
      <w:tabs>
        <w:tab w:val="clear" w:pos="1134"/>
        <w:tab w:val="left" w:pos="851"/>
        <w:tab w:val="left" w:pos="1100"/>
        <w:tab w:val="right" w:leader="dot" w:pos="9639"/>
      </w:tabs>
      <w:spacing w:before="240" w:after="120"/>
      <w:ind w:left="851" w:right="567" w:hanging="851"/>
      <w:jc w:val="left"/>
    </w:pPr>
    <w:rPr>
      <w:rFonts w:eastAsia="MS Mincho"/>
      <w:iCs/>
      <w:noProof/>
      <w:szCs w:val="22"/>
    </w:rPr>
  </w:style>
  <w:style w:type="character" w:customStyle="1" w:styleId="FootnoteTextChar">
    <w:name w:val="Footnote Text Char"/>
    <w:basedOn w:val="DefaultParagraphFont"/>
    <w:link w:val="FootnoteText"/>
    <w:uiPriority w:val="99"/>
    <w:rsid w:val="00BD5420"/>
    <w:rPr>
      <w:rFonts w:ascii="Verdana" w:eastAsia="Arial" w:hAnsi="Verdana" w:cs="Arial"/>
      <w:sz w:val="18"/>
      <w:szCs w:val="18"/>
      <w:lang w:val="en-GB" w:eastAsia="en-US"/>
    </w:rPr>
  </w:style>
  <w:style w:type="character" w:customStyle="1" w:styleId="CommentChar">
    <w:name w:val="Comment Char"/>
    <w:basedOn w:val="DefaultParagraphFont"/>
    <w:link w:val="Comment"/>
    <w:rsid w:val="000C225A"/>
    <w:rPr>
      <w:rFonts w:ascii="Verdana" w:eastAsia="Arial" w:hAnsi="Verdana" w:cs="Arial"/>
      <w:i/>
      <w:sz w:val="22"/>
      <w:szCs w:val="22"/>
      <w:lang w:val="en-GB" w:eastAsia="en-US"/>
    </w:rPr>
  </w:style>
  <w:style w:type="character" w:customStyle="1" w:styleId="BodyTextChar0">
    <w:name w:val="Body Text Char"/>
    <w:basedOn w:val="DefaultParagraphFont"/>
    <w:link w:val="BodyText0"/>
    <w:rsid w:val="006F4B29"/>
    <w:rPr>
      <w:rFonts w:ascii="Verdana" w:eastAsia="SimSun" w:hAnsi="Verdana" w:cs="Arial"/>
      <w:b/>
      <w:bCs/>
      <w:sz w:val="24"/>
      <w:szCs w:val="24"/>
      <w:lang w:val="en-GB" w:eastAsia="zh-CN"/>
    </w:rPr>
  </w:style>
  <w:style w:type="character" w:styleId="PlaceholderText">
    <w:name w:val="Placeholder Text"/>
    <w:basedOn w:val="DefaultParagraphFont"/>
    <w:rsid w:val="00BD5420"/>
    <w:rPr>
      <w:color w:val="808080"/>
    </w:rPr>
  </w:style>
  <w:style w:type="paragraph" w:customStyle="1" w:styleId="WMOIndent1">
    <w:name w:val="WMO_Indent1"/>
    <w:basedOn w:val="WMOBodyText"/>
    <w:rsid w:val="00814CC6"/>
    <w:pPr>
      <w:tabs>
        <w:tab w:val="left" w:pos="567"/>
      </w:tabs>
      <w:ind w:left="567" w:hanging="567"/>
    </w:pPr>
    <w:rPr>
      <w:rFonts w:eastAsia="Times New Roman" w:cs="Times New Roman"/>
    </w:rPr>
  </w:style>
  <w:style w:type="paragraph" w:customStyle="1" w:styleId="WMOIndent2">
    <w:name w:val="WMO_Indent2"/>
    <w:basedOn w:val="WMOIndent1"/>
    <w:rsid w:val="00814CC6"/>
    <w:pPr>
      <w:tabs>
        <w:tab w:val="clear" w:pos="567"/>
        <w:tab w:val="left" w:pos="1134"/>
      </w:tabs>
      <w:ind w:left="1134"/>
    </w:pPr>
  </w:style>
  <w:style w:type="paragraph" w:customStyle="1" w:styleId="WMOIndent3">
    <w:name w:val="WMO_Indent3"/>
    <w:basedOn w:val="WMOIndent2"/>
    <w:rsid w:val="00814CC6"/>
    <w:pPr>
      <w:tabs>
        <w:tab w:val="clear" w:pos="1134"/>
        <w:tab w:val="left" w:pos="1701"/>
      </w:tabs>
      <w:ind w:left="1701"/>
    </w:pPr>
  </w:style>
  <w:style w:type="paragraph" w:customStyle="1" w:styleId="WMONote">
    <w:name w:val="WMO_Note"/>
    <w:basedOn w:val="WMOBodyText"/>
    <w:qFormat/>
    <w:rsid w:val="00B62F03"/>
    <w:pPr>
      <w:tabs>
        <w:tab w:val="left" w:pos="1418"/>
      </w:tabs>
      <w:ind w:left="1418" w:hanging="1418"/>
    </w:pPr>
    <w:rPr>
      <w:bCs/>
      <w:sz w:val="18"/>
      <w:szCs w:val="18"/>
    </w:rPr>
  </w:style>
  <w:style w:type="paragraph" w:customStyle="1" w:styleId="WMOIndent4">
    <w:name w:val="WMO_Indent4"/>
    <w:basedOn w:val="WMOIndent3"/>
    <w:qFormat/>
    <w:rsid w:val="00814CC6"/>
    <w:pPr>
      <w:tabs>
        <w:tab w:val="clear" w:pos="1701"/>
        <w:tab w:val="left" w:pos="2268"/>
      </w:tabs>
      <w:ind w:left="2268"/>
    </w:pPr>
  </w:style>
  <w:style w:type="paragraph" w:customStyle="1" w:styleId="WMOComment">
    <w:name w:val="WMO_Comment"/>
    <w:basedOn w:val="WMOBodyText"/>
    <w:next w:val="WMOBodyText"/>
    <w:link w:val="WMOCommentChar"/>
    <w:qFormat/>
    <w:rsid w:val="003245D3"/>
    <w:rPr>
      <w:i/>
    </w:rPr>
  </w:style>
  <w:style w:type="character" w:customStyle="1" w:styleId="WMOCommentChar">
    <w:name w:val="WMO_Comment Char"/>
    <w:basedOn w:val="WMOBodyTextCharChar"/>
    <w:link w:val="WMOComment"/>
    <w:rsid w:val="003245D3"/>
    <w:rPr>
      <w:rFonts w:ascii="Verdana" w:eastAsia="Verdana" w:hAnsi="Verdana" w:cs="Verdana"/>
      <w:i/>
      <w:lang w:val="en-GB"/>
    </w:rPr>
  </w:style>
  <w:style w:type="character" w:customStyle="1" w:styleId="StyleComplex11ptBoldAccent1">
    <w:name w:val="Style (Complex) 11 pt Bold Accent 1"/>
    <w:basedOn w:val="DefaultParagraphFont"/>
    <w:rsid w:val="00527225"/>
    <w:rPr>
      <w:b/>
      <w:bCs/>
      <w:noProof w:val="0"/>
      <w:color w:val="365F91" w:themeColor="accent1" w:themeShade="BF"/>
      <w:szCs w:val="22"/>
      <w:lang w:val="es-ES_tradnl"/>
    </w:rPr>
  </w:style>
  <w:style w:type="paragraph" w:customStyle="1" w:styleId="StyleComplexTahomaComplex11ptAccent1RightAfter-">
    <w:name w:val="Style (Complex) Tahoma (Complex) 11 pt Accent 1 Right After:  -..."/>
    <w:basedOn w:val="Normal"/>
    <w:rsid w:val="00527225"/>
    <w:pPr>
      <w:spacing w:before="120" w:after="60"/>
      <w:ind w:right="-108"/>
      <w:jc w:val="right"/>
    </w:pPr>
    <w:rPr>
      <w:rFonts w:cs="Tahoma"/>
      <w:color w:val="365F91" w:themeColor="accent1" w:themeShade="BF"/>
      <w:szCs w:val="22"/>
      <w:lang w:val="es-ES_tradnl"/>
    </w:rPr>
  </w:style>
  <w:style w:type="paragraph" w:styleId="Revision">
    <w:name w:val="Revision"/>
    <w:hidden/>
    <w:semiHidden/>
    <w:rsid w:val="00AD33A8"/>
    <w:rPr>
      <w:rFonts w:ascii="Verdana" w:eastAsia="Arial" w:hAnsi="Verdana" w:cs="Arial"/>
      <w:lang w:val="en-GB" w:eastAsia="en-US"/>
    </w:rPr>
  </w:style>
  <w:style w:type="character" w:customStyle="1" w:styleId="WMOBodyTextChar">
    <w:name w:val="WMO_BodyText Char"/>
    <w:basedOn w:val="DefaultParagraphFont"/>
    <w:rsid w:val="001527A3"/>
    <w:rPr>
      <w:rFonts w:ascii="Verdana" w:eastAsia="Arial" w:hAnsi="Verdana" w:cs="Arial"/>
      <w:color w:val="000000" w:themeColor="text1"/>
      <w:sz w:val="20"/>
      <w:lang w:val="es-ES_tradnl" w:eastAsia="en-US"/>
    </w:rPr>
  </w:style>
  <w:style w:type="paragraph" w:customStyle="1" w:styleId="WMOResList1">
    <w:name w:val="WMO_ResList1"/>
    <w:basedOn w:val="Normal"/>
    <w:rsid w:val="001527A3"/>
    <w:pPr>
      <w:tabs>
        <w:tab w:val="clear" w:pos="1134"/>
        <w:tab w:val="left" w:pos="567"/>
      </w:tabs>
      <w:spacing w:before="240"/>
      <w:ind w:left="567" w:hanging="567"/>
      <w:jc w:val="left"/>
    </w:pPr>
    <w:rPr>
      <w:szCs w:val="22"/>
      <w:lang w:val="es-ES_tradnl" w:eastAsia="zh-TW"/>
    </w:rPr>
  </w:style>
  <w:style w:type="paragraph" w:customStyle="1" w:styleId="WMOResList3">
    <w:name w:val="WMO_ResList3"/>
    <w:basedOn w:val="WMOResList1"/>
    <w:qFormat/>
    <w:rsid w:val="001527A3"/>
    <w:pPr>
      <w:tabs>
        <w:tab w:val="clear" w:pos="567"/>
      </w:tabs>
      <w:ind w:left="1701"/>
    </w:pPr>
    <w:rPr>
      <w:lang w:eastAsia="en-US"/>
    </w:rPr>
  </w:style>
  <w:style w:type="paragraph" w:customStyle="1" w:styleId="WMOResList2">
    <w:name w:val="WMO_ResList2"/>
    <w:basedOn w:val="WMOResList1"/>
    <w:rsid w:val="001527A3"/>
    <w:pPr>
      <w:tabs>
        <w:tab w:val="clear" w:pos="567"/>
        <w:tab w:val="left" w:pos="1134"/>
      </w:tabs>
      <w:ind w:left="1134"/>
    </w:pPr>
    <w:rPr>
      <w:lang w:val="en-GB"/>
    </w:rPr>
  </w:style>
  <w:style w:type="paragraph" w:customStyle="1" w:styleId="StyleWMOBodyTextBold">
    <w:name w:val="Style WMO_BodyText + Bold"/>
    <w:basedOn w:val="WMOBodyText"/>
    <w:rsid w:val="00514EAC"/>
    <w:rPr>
      <w:b/>
      <w:bCs/>
    </w:rPr>
  </w:style>
  <w:style w:type="character" w:customStyle="1" w:styleId="Heading3Char">
    <w:name w:val="Heading 3 Char"/>
    <w:basedOn w:val="DefaultParagraphFont"/>
    <w:link w:val="Heading3"/>
    <w:rsid w:val="00514EAC"/>
    <w:rPr>
      <w:rFonts w:ascii="Verdana" w:eastAsia="Verdana" w:hAnsi="Verdana" w:cs="Verdana"/>
      <w:b/>
      <w:bCs/>
      <w:lang w:val="es-ES_tradnl"/>
    </w:rPr>
  </w:style>
  <w:style w:type="character" w:styleId="UnresolvedMention">
    <w:name w:val="Unresolved Mention"/>
    <w:basedOn w:val="DefaultParagraphFont"/>
    <w:uiPriority w:val="99"/>
    <w:semiHidden/>
    <w:unhideWhenUsed/>
    <w:rsid w:val="00514EAC"/>
    <w:rPr>
      <w:color w:val="605E5C"/>
      <w:shd w:val="clear" w:color="auto" w:fill="E1DFDD"/>
    </w:rPr>
  </w:style>
  <w:style w:type="paragraph" w:customStyle="1" w:styleId="StyleWMOBodyTextBefore0cmHanging7cm">
    <w:name w:val="Style WMO_BodyText + Before:  0 cm Hanging:  7 cm"/>
    <w:basedOn w:val="WMOBodyText"/>
    <w:rsid w:val="00514EAC"/>
    <w:pPr>
      <w:ind w:left="3969" w:hanging="396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3464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eetings.wmo.int/SERCOM-2/_layouts/15/WopiFrame.aspx?sourcedoc=/SERCOM-2/Spanish/2.%20VERSI%C3%93N%20PROVISIONAL%20DEL%20INFORME%20(Documentos%20aprobados)/SERCOM-2-d05-10(3)-INTEGRATED-HEALTH-SERVICES-approved_es.docx&amp;action=default" TargetMode="External"/><Relationship Id="rId18" Type="http://schemas.openxmlformats.org/officeDocument/2006/relationships/hyperlink" Target="https://library.wmo.int/doc_num.php?explnum_id=3214" TargetMode="External"/><Relationship Id="rId26" Type="http://schemas.openxmlformats.org/officeDocument/2006/relationships/hyperlink" Target="https://library.wmo.int/doc_num.php?explnum_id=9847" TargetMode="External"/><Relationship Id="rId3" Type="http://schemas.openxmlformats.org/officeDocument/2006/relationships/customXml" Target="../customXml/item3.xml"/><Relationship Id="rId21" Type="http://schemas.openxmlformats.org/officeDocument/2006/relationships/hyperlink" Target="https://library.wmo.int/doc_num.php?explnum_id=10782" TargetMode="External"/><Relationship Id="rId7" Type="http://schemas.openxmlformats.org/officeDocument/2006/relationships/settings" Target="settings.xml"/><Relationship Id="rId12" Type="http://schemas.openxmlformats.org/officeDocument/2006/relationships/hyperlink" Target="https://library.wmo.int/doc_num.php?explnum_id=9847" TargetMode="External"/><Relationship Id="rId17" Type="http://schemas.openxmlformats.org/officeDocument/2006/relationships/hyperlink" Target="https://library.wmo.int/doc_num.php?explnum_id=5252" TargetMode="External"/><Relationship Id="rId25" Type="http://schemas.openxmlformats.org/officeDocument/2006/relationships/hyperlink" Target="https://meetings.wmo.int/SERCOM-2/_layouts/15/WopiFrame.aspx?sourcedoc=/SERCOM-2/InformationDocuments/SERCOM-2-INF05-10(3a)-HEALTH-IMPLEMENTATION-PLAN-SUMMARY_es-MT.docx&amp;action=default" TargetMode="External"/><Relationship Id="rId2" Type="http://schemas.openxmlformats.org/officeDocument/2006/relationships/customXml" Target="../customXml/item2.xml"/><Relationship Id="rId16" Type="http://schemas.openxmlformats.org/officeDocument/2006/relationships/hyperlink" Target="https://library.wmo.int/doc_num.php?explnum_id=5207" TargetMode="External"/><Relationship Id="rId20" Type="http://schemas.openxmlformats.org/officeDocument/2006/relationships/hyperlink" Target="https://library.wmo.int/doc_num.php?explnum_id=10782"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meetings.wmo.int/SERCOM-2/_layouts/15/WopiFrame.aspx?sourcedoc=/SERCOM-2/InformationDocuments/SERCOM-2-INF05-10(3b)-HEALTH-SCIENCE-AND-SERVICES-CONCEPTUAL-FRAMEWORK_es-MT.docx&amp;action=default" TargetMode="External"/><Relationship Id="rId5" Type="http://schemas.openxmlformats.org/officeDocument/2006/relationships/numbering" Target="numbering.xml"/><Relationship Id="rId15" Type="http://schemas.openxmlformats.org/officeDocument/2006/relationships/hyperlink" Target="https://library.wmo.int/doc_num.php?explnum_id=9847" TargetMode="External"/><Relationship Id="rId23" Type="http://schemas.openxmlformats.org/officeDocument/2006/relationships/hyperlink" Target="https://meetings.wmo.int/SERCOM-2/_layouts/15/WopiFrame.aspx?sourcedoc=/SERCOM-2/InformationDocuments/SERCOM-2-INF05-10(3a)-HEALTH-IMPLEMENTATION-PLAN-SUMMARY_es-MT.docx&amp;action=default" TargetMode="External"/><Relationship Id="rId28" Type="http://schemas.openxmlformats.org/officeDocument/2006/relationships/hyperlink" Target="https://meetings.wmo.int/SERCOM-2/_layouts/15/WopiFrame.aspx?sourcedoc=/SERCOM-2/InformationDocuments/SERCOM-2-INF05-10(3b)-HEALTH-SCIENCE-AND-SERVICES-CONCEPTUAL-FRAMEWORK_es-MT.docx&amp;action=default" TargetMode="External"/><Relationship Id="rId10" Type="http://schemas.openxmlformats.org/officeDocument/2006/relationships/endnotes" Target="endnotes.xml"/><Relationship Id="rId19" Type="http://schemas.openxmlformats.org/officeDocument/2006/relationships/hyperlink" Target="https://library.wmo.int/doc_num.php?explnum_id=9847"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brary.wmo.int/doc_num.php?explnum_id=9847" TargetMode="External"/><Relationship Id="rId22" Type="http://schemas.openxmlformats.org/officeDocument/2006/relationships/hyperlink" Target="https://meetings.wmo.int/SERCOM-2/_layouts/15/WopiFrame.aspx?sourcedoc=/SERCOM-2/Spanish/2.%20VERSI%C3%93N%20PROVISIONAL%20DEL%20INFORME%20(Documentos%20aprobados)/SERCOM-2-d05-10(3)-INTEGRATED-HEALTH-SERVICES-approved_es.docx&amp;action=default" TargetMode="External"/><Relationship Id="rId27" Type="http://schemas.openxmlformats.org/officeDocument/2006/relationships/image" Target="media/image2.jpg"/><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covilar\OneDrive%20-%20WMO\Documents\Edu\Carpeta%20de%20trabajo%20OMM\Plantillas\SERCOM-2-dxx-Template_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F59FCA29978B940B5A3D89EF27385AE" ma:contentTypeVersion="" ma:contentTypeDescription="Create a new document." ma:contentTypeScope="" ma:versionID="bf9365c25a92441b1ee6c305e75e8ee5">
  <xsd:schema xmlns:xsd="http://www.w3.org/2001/XMLSchema" xmlns:xs="http://www.w3.org/2001/XMLSchema" xmlns:p="http://schemas.microsoft.com/office/2006/metadata/properties" xmlns:ns2="1c5fc8e0-0999-4fb6-bf1f-7ab008e6dd1d" targetNamespace="http://schemas.microsoft.com/office/2006/metadata/properties" ma:root="true" ma:fieldsID="4b90bfc561bd565481a8f67666d1c250" ns2:_="">
    <xsd:import namespace="1c5fc8e0-0999-4fb6-bf1f-7ab008e6dd1d"/>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5fc8e0-0999-4fb6-bf1f-7ab008e6dd1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20D50D-8F4D-4581-A6DB-25A81D5B93C9}">
  <ds:schemaRefs>
    <ds:schemaRef ds:uri="http://schemas.microsoft.com/sharepoint/v3/contenttype/forms"/>
  </ds:schemaRefs>
</ds:datastoreItem>
</file>

<file path=customXml/itemProps2.xml><?xml version="1.0" encoding="utf-8"?>
<ds:datastoreItem xmlns:ds="http://schemas.openxmlformats.org/officeDocument/2006/customXml" ds:itemID="{4CE4C997-AFE9-4FD5-8B67-4DD00902483D}">
  <ds:schemaRefs>
    <ds:schemaRef ds:uri="http://purl.org/dc/elements/1.1/"/>
    <ds:schemaRef ds:uri="http://purl.org/dc/terms/"/>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schemas.openxmlformats.org/package/2006/metadata/core-properties"/>
    <ds:schemaRef ds:uri="ce21bc6c-711a-4065-a01c-a8f0e29e3ad8"/>
    <ds:schemaRef ds:uri="3679bf0f-1d7e-438f-afa5-6ebf1e20f9b8"/>
    <ds:schemaRef ds:uri="http://purl.org/dc/dcmitype/"/>
  </ds:schemaRefs>
</ds:datastoreItem>
</file>

<file path=customXml/itemProps3.xml><?xml version="1.0" encoding="utf-8"?>
<ds:datastoreItem xmlns:ds="http://schemas.openxmlformats.org/officeDocument/2006/customXml" ds:itemID="{EDF44348-A95A-4F99-A310-2CC5ABE30E75}">
  <ds:schemaRefs>
    <ds:schemaRef ds:uri="http://schemas.openxmlformats.org/officeDocument/2006/bibliography"/>
  </ds:schemaRefs>
</ds:datastoreItem>
</file>

<file path=customXml/itemProps4.xml><?xml version="1.0" encoding="utf-8"?>
<ds:datastoreItem xmlns:ds="http://schemas.openxmlformats.org/officeDocument/2006/customXml" ds:itemID="{AEAB1035-F06A-4960-83D0-29D8098372C7}"/>
</file>

<file path=docProps/app.xml><?xml version="1.0" encoding="utf-8"?>
<Properties xmlns="http://schemas.openxmlformats.org/officeDocument/2006/extended-properties" xmlns:vt="http://schemas.openxmlformats.org/officeDocument/2006/docPropsVTypes">
  <Template>SERCOM-2-dxx-Template_es</Template>
  <TotalTime>29</TotalTime>
  <Pages>7</Pages>
  <Words>2813</Words>
  <Characters>15473</Characters>
  <Application>Microsoft Office Word</Application>
  <DocSecurity>0</DocSecurity>
  <Lines>128</Lines>
  <Paragraphs>36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WMO Document Template</vt:lpstr>
      <vt:lpstr>WMO Document Template</vt:lpstr>
    </vt:vector>
  </TitlesOfParts>
  <Company>WMO</Company>
  <LinksUpToDate>false</LinksUpToDate>
  <CharactersWithSpaces>18250</CharactersWithSpaces>
  <SharedDoc>false</SharedDoc>
  <HLinks>
    <vt:vector size="18" baseType="variant">
      <vt:variant>
        <vt:i4>2228298</vt:i4>
      </vt:variant>
      <vt:variant>
        <vt:i4>152</vt:i4>
      </vt:variant>
      <vt:variant>
        <vt:i4>0</vt:i4>
      </vt:variant>
      <vt:variant>
        <vt:i4>5</vt:i4>
      </vt:variant>
      <vt:variant>
        <vt:lpwstr>ftp://ftp.wmo.int/Documents/PublicWeb/mainweb/meetings/cbodies/governance/congress_reports/english/pdf/1026_E.pdf</vt:lpwstr>
      </vt:variant>
      <vt:variant>
        <vt:lpwstr/>
      </vt:variant>
      <vt:variant>
        <vt:i4>4784202</vt:i4>
      </vt:variant>
      <vt:variant>
        <vt:i4>51</vt:i4>
      </vt:variant>
      <vt:variant>
        <vt:i4>0</vt:i4>
      </vt:variant>
      <vt:variant>
        <vt:i4>5</vt:i4>
      </vt:variant>
      <vt:variant>
        <vt:lpwstr/>
      </vt:variant>
      <vt:variant>
        <vt:lpwstr>_Draft_Recommendation_X.X/1</vt:lpwstr>
      </vt:variant>
      <vt:variant>
        <vt:i4>983122</vt:i4>
      </vt:variant>
      <vt:variant>
        <vt:i4>48</vt:i4>
      </vt:variant>
      <vt:variant>
        <vt:i4>0</vt:i4>
      </vt:variant>
      <vt:variant>
        <vt:i4>5</vt:i4>
      </vt:variant>
      <vt:variant>
        <vt:lpwstr/>
      </vt:variant>
      <vt:variant>
        <vt:lpwstr>_DRAFT_RESOLUTION_4.2/1_(EC-64)%20-%20PU</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WMO Document Template</dc:title>
  <dc:creator>WMO</dc:creator>
  <cp:lastModifiedBy>Fabian Rubiolo</cp:lastModifiedBy>
  <cp:revision>4</cp:revision>
  <cp:lastPrinted>2013-03-12T09:27:00Z</cp:lastPrinted>
  <dcterms:created xsi:type="dcterms:W3CDTF">2023-02-03T10:25:00Z</dcterms:created>
  <dcterms:modified xsi:type="dcterms:W3CDTF">2023-02-03T12:37:00Z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0x0101003F59FCA29978B940B5A3D89EF27385AE</vt:lpwstr>
  </property>
  <property fmtid="{D5CDD505-2E9C-101B-9397-08002B2CF9AE}" pid="3" name="MediaServiceImageTags">
    <vt:lpwstr/>
  </property>
</Properties>
</file>